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86" w:rsidRPr="002D1D86" w:rsidRDefault="002D1D86" w:rsidP="002D1D86">
      <w:pPr>
        <w:jc w:val="center"/>
        <w:textAlignment w:val="auto"/>
      </w:pPr>
      <w:r w:rsidRPr="002D1D86">
        <w:rPr>
          <w:rFonts w:cs="Times New Roman"/>
          <w:b/>
          <w:bCs/>
        </w:rPr>
        <w:t>UCHWAŁA NR</w:t>
      </w:r>
      <w:r w:rsidRPr="002D1D86">
        <w:rPr>
          <w:rFonts w:cs="Times New Roman"/>
          <w:b/>
        </w:rPr>
        <w:t xml:space="preserve"> 83/VIII/2021</w:t>
      </w:r>
    </w:p>
    <w:p w:rsidR="002D1D86" w:rsidRPr="002D1D86" w:rsidRDefault="002D1D86" w:rsidP="002D1D86">
      <w:pPr>
        <w:jc w:val="center"/>
        <w:textAlignment w:val="auto"/>
      </w:pPr>
      <w:r w:rsidRPr="002D1D86">
        <w:rPr>
          <w:rFonts w:cs="Times New Roman"/>
          <w:b/>
          <w:bCs/>
        </w:rPr>
        <w:t>RADY GMINY</w:t>
      </w:r>
      <w:r w:rsidRPr="002D1D86">
        <w:rPr>
          <w:rFonts w:cs="Times New Roman"/>
          <w:b/>
        </w:rPr>
        <w:t xml:space="preserve"> BRANIEWO</w:t>
      </w:r>
    </w:p>
    <w:p w:rsidR="002D1D86" w:rsidRPr="002D1D86" w:rsidRDefault="002D1D86" w:rsidP="002D1D86">
      <w:pPr>
        <w:jc w:val="center"/>
        <w:textAlignment w:val="auto"/>
      </w:pPr>
      <w:r w:rsidRPr="002D1D86">
        <w:rPr>
          <w:rFonts w:cs="Times New Roman"/>
          <w:b/>
          <w:bCs/>
        </w:rPr>
        <w:t>Z DNIA</w:t>
      </w:r>
      <w:r w:rsidRPr="002D1D86">
        <w:rPr>
          <w:rFonts w:cs="Times New Roman"/>
          <w:b/>
        </w:rPr>
        <w:t xml:space="preserve"> 10 WRZEŚNIA 2021 ROKU</w:t>
      </w:r>
    </w:p>
    <w:p w:rsidR="002D1D86" w:rsidRPr="002D1D86" w:rsidRDefault="002D1D86" w:rsidP="002D1D86">
      <w:pPr>
        <w:spacing w:line="360" w:lineRule="auto"/>
        <w:jc w:val="center"/>
        <w:textAlignment w:val="auto"/>
        <w:rPr>
          <w:rFonts w:cs="Times New Roman"/>
        </w:rPr>
      </w:pPr>
    </w:p>
    <w:p w:rsidR="002D1D86" w:rsidRPr="002D1D86" w:rsidRDefault="002D1D86" w:rsidP="002D1D86">
      <w:pPr>
        <w:jc w:val="center"/>
        <w:textAlignment w:val="auto"/>
      </w:pPr>
      <w:r w:rsidRPr="002D1D86">
        <w:rPr>
          <w:rFonts w:cs="Times New Roman"/>
          <w:b/>
          <w:bCs/>
        </w:rPr>
        <w:t>w sprawie przyjęcia Regulaminu dostarczania wody i odprowadzania ścieków na terenie Gminy Braniewo</w:t>
      </w:r>
    </w:p>
    <w:p w:rsidR="002D1D86" w:rsidRPr="002D1D86" w:rsidRDefault="002D1D86" w:rsidP="002D1D86">
      <w:pPr>
        <w:spacing w:line="276" w:lineRule="auto"/>
        <w:jc w:val="both"/>
        <w:textAlignment w:val="auto"/>
        <w:rPr>
          <w:rFonts w:cs="Times New Roman"/>
          <w:bCs/>
        </w:rPr>
      </w:pPr>
    </w:p>
    <w:p w:rsidR="002D1D86" w:rsidRPr="002D1D86" w:rsidRDefault="002D1D86" w:rsidP="002D1D86">
      <w:pPr>
        <w:spacing w:line="276" w:lineRule="auto"/>
        <w:jc w:val="both"/>
        <w:textAlignment w:val="auto"/>
        <w:rPr>
          <w:rFonts w:cs="Times New Roman"/>
          <w:bCs/>
        </w:rPr>
      </w:pPr>
      <w:r w:rsidRPr="002D1D86">
        <w:rPr>
          <w:rFonts w:cs="Times New Roman"/>
          <w:bCs/>
        </w:rPr>
        <w:t>Na podstawie art. 18 ust. 2 pkt. 15 ustawy z dnia 8 marca 1990 r. o samorządzie gminnym t.j. z 2021 r., poz 1372) oraz art. 19 ust. 3 i 4 ustawy z dnia 7 czerwca 2001 r. o zbiorowym zaopatrzeniu w wodę i zbiorowym odprowadzaniu ścieków (t.j. Dz. U. z 2019 r., poz. 1437 z póżn. zm.), po uzyskaniu opinii Dyrektora Regionalnego Zarządu Gospodarki Wodnej Państwowego Gospodarstwa Wodnego Wody Polskie w Gdańsku, Rada Gminy Braniewo uchwala, co następuje:</w:t>
      </w:r>
    </w:p>
    <w:p w:rsidR="002D1D86" w:rsidRPr="002D1D86" w:rsidRDefault="002D1D86" w:rsidP="002D1D86">
      <w:pPr>
        <w:spacing w:line="360" w:lineRule="auto"/>
        <w:jc w:val="both"/>
        <w:textAlignment w:val="auto"/>
        <w:rPr>
          <w:rFonts w:cs="Times New Roman"/>
          <w:bCs/>
        </w:rPr>
      </w:pPr>
    </w:p>
    <w:p w:rsidR="002D1D86" w:rsidRPr="002D1D86" w:rsidRDefault="002D1D86" w:rsidP="002D1D86">
      <w:pPr>
        <w:spacing w:line="360" w:lineRule="auto"/>
        <w:jc w:val="center"/>
        <w:textAlignment w:val="auto"/>
        <w:rPr>
          <w:rFonts w:cs="Times New Roman"/>
          <w:b/>
          <w:bCs/>
        </w:rPr>
      </w:pPr>
      <w:r w:rsidRPr="002D1D86">
        <w:rPr>
          <w:rFonts w:cs="Times New Roman"/>
          <w:b/>
          <w:bCs/>
        </w:rPr>
        <w:t>§ 1.</w:t>
      </w:r>
    </w:p>
    <w:p w:rsidR="002D1D86" w:rsidRPr="002D1D86" w:rsidRDefault="002D1D86" w:rsidP="002D1D86">
      <w:pPr>
        <w:jc w:val="both"/>
        <w:textAlignment w:val="auto"/>
        <w:rPr>
          <w:rFonts w:cs="Times New Roman"/>
          <w:bCs/>
        </w:rPr>
      </w:pPr>
      <w:r w:rsidRPr="002D1D86">
        <w:rPr>
          <w:rFonts w:cs="Times New Roman"/>
          <w:bCs/>
        </w:rPr>
        <w:t>Uchwala się Regulamin dostarczania wody i odprowadzania ścieków, obowiązujący na terenie Gminy Braniewo w brzmieniu stanowiącym załącznik do niniejszej uchwały.</w:t>
      </w:r>
    </w:p>
    <w:p w:rsidR="002D1D86" w:rsidRPr="002D1D86" w:rsidRDefault="002D1D86" w:rsidP="002D1D86">
      <w:pPr>
        <w:spacing w:line="360" w:lineRule="auto"/>
        <w:jc w:val="center"/>
        <w:textAlignment w:val="auto"/>
        <w:rPr>
          <w:rFonts w:cs="Times New Roman"/>
          <w:b/>
          <w:bCs/>
        </w:rPr>
      </w:pPr>
    </w:p>
    <w:p w:rsidR="002D1D86" w:rsidRPr="002D1D86" w:rsidRDefault="002D1D86" w:rsidP="002D1D86">
      <w:pPr>
        <w:spacing w:line="360" w:lineRule="auto"/>
        <w:jc w:val="center"/>
        <w:textAlignment w:val="auto"/>
        <w:rPr>
          <w:rFonts w:cs="Times New Roman"/>
          <w:b/>
          <w:bCs/>
        </w:rPr>
      </w:pPr>
      <w:r w:rsidRPr="002D1D86">
        <w:rPr>
          <w:rFonts w:cs="Times New Roman"/>
          <w:b/>
          <w:bCs/>
        </w:rPr>
        <w:t>§ 2.</w:t>
      </w:r>
    </w:p>
    <w:p w:rsidR="002D1D86" w:rsidRPr="002D1D86" w:rsidRDefault="002D1D86" w:rsidP="002D1D86">
      <w:pPr>
        <w:spacing w:line="360" w:lineRule="auto"/>
        <w:jc w:val="both"/>
        <w:textAlignment w:val="auto"/>
        <w:rPr>
          <w:rFonts w:cs="Times New Roman"/>
          <w:bCs/>
        </w:rPr>
      </w:pPr>
      <w:r w:rsidRPr="002D1D86">
        <w:rPr>
          <w:rFonts w:cs="Times New Roman"/>
          <w:bCs/>
        </w:rPr>
        <w:t>Wykonanie uchwały powierza się Wójtowi Gminy Braniewo.</w:t>
      </w:r>
    </w:p>
    <w:p w:rsidR="002D1D86" w:rsidRPr="002D1D86" w:rsidRDefault="002D1D86" w:rsidP="002D1D86">
      <w:pPr>
        <w:spacing w:line="360" w:lineRule="auto"/>
        <w:jc w:val="center"/>
        <w:textAlignment w:val="auto"/>
        <w:rPr>
          <w:rFonts w:cs="Times New Roman"/>
          <w:b/>
          <w:bCs/>
        </w:rPr>
      </w:pPr>
      <w:r w:rsidRPr="002D1D86">
        <w:rPr>
          <w:rFonts w:cs="Times New Roman"/>
          <w:b/>
          <w:bCs/>
        </w:rPr>
        <w:t>§ 3.</w:t>
      </w:r>
    </w:p>
    <w:p w:rsidR="002D1D86" w:rsidRPr="002D1D86" w:rsidRDefault="002D1D86" w:rsidP="002D1D86">
      <w:pPr>
        <w:jc w:val="both"/>
        <w:textAlignment w:val="auto"/>
        <w:rPr>
          <w:rFonts w:cs="Times New Roman"/>
          <w:bCs/>
        </w:rPr>
      </w:pPr>
      <w:r w:rsidRPr="002D1D86">
        <w:rPr>
          <w:rFonts w:cs="Times New Roman"/>
          <w:bCs/>
        </w:rPr>
        <w:t>Traci moc Uchwała nr 28/VIII/2018 Rady Gminy Braniewo z dnia 19.12.2018 roku w sprawie przyjęcia Regulaminu dostarczania wody i odprowadzania ścieków.</w:t>
      </w:r>
    </w:p>
    <w:p w:rsidR="002D1D86" w:rsidRPr="002D1D86" w:rsidRDefault="002D1D86" w:rsidP="002D1D86">
      <w:pPr>
        <w:spacing w:line="360" w:lineRule="auto"/>
        <w:jc w:val="center"/>
        <w:textAlignment w:val="auto"/>
        <w:rPr>
          <w:rFonts w:cs="Times New Roman"/>
          <w:b/>
          <w:bCs/>
        </w:rPr>
      </w:pPr>
    </w:p>
    <w:p w:rsidR="002D1D86" w:rsidRPr="002D1D86" w:rsidRDefault="002D1D86" w:rsidP="002D1D86">
      <w:pPr>
        <w:spacing w:line="360" w:lineRule="auto"/>
        <w:jc w:val="center"/>
        <w:textAlignment w:val="auto"/>
        <w:rPr>
          <w:rFonts w:cs="Times New Roman"/>
          <w:b/>
          <w:bCs/>
        </w:rPr>
      </w:pPr>
      <w:r w:rsidRPr="002D1D86">
        <w:rPr>
          <w:rFonts w:cs="Times New Roman"/>
          <w:b/>
          <w:bCs/>
        </w:rPr>
        <w:t>§ 4.</w:t>
      </w:r>
    </w:p>
    <w:p w:rsidR="002D1D86" w:rsidRPr="002D1D86" w:rsidRDefault="002D1D86" w:rsidP="002D1D86">
      <w:pPr>
        <w:jc w:val="both"/>
        <w:textAlignment w:val="auto"/>
        <w:rPr>
          <w:rFonts w:cs="Times New Roman"/>
          <w:bCs/>
        </w:rPr>
      </w:pPr>
      <w:r w:rsidRPr="002D1D86">
        <w:rPr>
          <w:rFonts w:cs="Times New Roman"/>
          <w:bCs/>
        </w:rPr>
        <w:t>Uchwała wchodzi w życie po upływie 14 dni od dnia ogłoszenia w Dzienniku Urzędowym Województwa Warmińsko-Mazurskiego.</w:t>
      </w:r>
    </w:p>
    <w:p w:rsidR="002D1D86" w:rsidRDefault="006A3E13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  <w:r>
        <w:rPr>
          <w:rFonts w:cs="Times New Roman"/>
          <w:b/>
          <w:bCs/>
          <w:color w:val="000000"/>
          <w:sz w:val="20"/>
          <w:szCs w:val="16"/>
        </w:rPr>
        <w:t xml:space="preserve">                                           </w:t>
      </w: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2D1D86" w:rsidRDefault="002D1D86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</w:p>
    <w:p w:rsidR="00444AFD" w:rsidRDefault="006A3E13">
      <w:pPr>
        <w:pStyle w:val="Textbody"/>
        <w:spacing w:after="0"/>
        <w:jc w:val="right"/>
        <w:rPr>
          <w:rFonts w:cs="Times New Roman"/>
          <w:b/>
          <w:bCs/>
          <w:color w:val="000000"/>
          <w:sz w:val="20"/>
          <w:szCs w:val="16"/>
        </w:rPr>
      </w:pPr>
      <w:bookmarkStart w:id="0" w:name="_GoBack"/>
      <w:bookmarkEnd w:id="0"/>
      <w:r>
        <w:rPr>
          <w:rFonts w:cs="Times New Roman"/>
          <w:b/>
          <w:bCs/>
          <w:color w:val="000000"/>
          <w:sz w:val="20"/>
          <w:szCs w:val="16"/>
        </w:rPr>
        <w:lastRenderedPageBreak/>
        <w:t>ZAŁĄCZNIK NR 1</w:t>
      </w:r>
    </w:p>
    <w:p w:rsidR="00444AFD" w:rsidRDefault="006A3E13">
      <w:pPr>
        <w:pStyle w:val="Textbody"/>
        <w:spacing w:after="0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DO UCHWAŁY NR </w:t>
      </w:r>
      <w:r w:rsidR="00150C73">
        <w:rPr>
          <w:b/>
          <w:color w:val="000000"/>
          <w:sz w:val="20"/>
        </w:rPr>
        <w:t>83</w:t>
      </w:r>
      <w:r>
        <w:rPr>
          <w:b/>
          <w:color w:val="000000"/>
          <w:sz w:val="20"/>
        </w:rPr>
        <w:t>/VIII/2021</w:t>
      </w:r>
    </w:p>
    <w:p w:rsidR="00444AFD" w:rsidRDefault="006A3E13">
      <w:pPr>
        <w:pStyle w:val="Textbody"/>
        <w:spacing w:after="0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RADY GMINY BRANIEWO</w:t>
      </w:r>
    </w:p>
    <w:p w:rsidR="00444AFD" w:rsidRPr="00F87203" w:rsidRDefault="006A3E13" w:rsidP="00F87203">
      <w:pPr>
        <w:pStyle w:val="Textbody"/>
        <w:spacing w:line="251" w:lineRule="auto"/>
        <w:jc w:val="right"/>
      </w:pPr>
      <w:r>
        <w:rPr>
          <w:b/>
          <w:sz w:val="22"/>
        </w:rPr>
        <w:t>Z DNIA 10 WRZEŚNIA 2021 ROKU</w:t>
      </w:r>
    </w:p>
    <w:p w:rsidR="00444AFD" w:rsidRDefault="006A3E1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REGULAMIN DOSTARCZANIA WODY I ODPROWADZANIA ŚCIEKÓW</w:t>
      </w:r>
    </w:p>
    <w:p w:rsidR="00444AFD" w:rsidRDefault="006A3E13" w:rsidP="00F8720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NA TERENIE GMINY BRANIEWO</w:t>
      </w:r>
    </w:p>
    <w:p w:rsidR="00F87203" w:rsidRDefault="00F87203" w:rsidP="00F87203">
      <w:pPr>
        <w:pStyle w:val="Standard"/>
        <w:jc w:val="center"/>
        <w:rPr>
          <w:rFonts w:cs="Times New Roman"/>
          <w:b/>
          <w:bCs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ROZDZIAŁ I</w:t>
      </w:r>
    </w:p>
    <w:p w:rsidR="00444AFD" w:rsidRDefault="006A3E1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PRZEPISY OGÓLNE</w:t>
      </w:r>
    </w:p>
    <w:p w:rsidR="00444AFD" w:rsidRDefault="00444AFD">
      <w:pPr>
        <w:pStyle w:val="Standard"/>
        <w:jc w:val="center"/>
        <w:rPr>
          <w:rFonts w:ascii="Tahoma" w:hAnsi="Tahoma"/>
          <w:b/>
          <w:bCs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1.</w:t>
      </w:r>
    </w:p>
    <w:p w:rsidR="00444AFD" w:rsidRDefault="006A3E13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Regulamin określa prawa i obowiązki przedsiębiorstwa wodociągowo – kanalizacyjnego oraz odbiorców usług w zakresie zbiorowego zaopatrzenia w wodę przeznaczoną do spożycia przez ludzi za pomocą urządzeń wodociągowych oraz zbiorowego odprowadzania ścieków za pomocą urządzeń kanalizacyjnych na terenie Gminy Braniewo.</w:t>
      </w:r>
    </w:p>
    <w:p w:rsidR="00444AFD" w:rsidRDefault="00444AFD">
      <w:pPr>
        <w:pStyle w:val="Standard"/>
        <w:jc w:val="center"/>
        <w:rPr>
          <w:rFonts w:cs="Times New Roman"/>
          <w:b/>
          <w:bCs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 xml:space="preserve">1.  </w:t>
      </w:r>
      <w:r>
        <w:rPr>
          <w:rFonts w:cs="Times New Roman"/>
        </w:rPr>
        <w:t xml:space="preserve">Ilekroć w Regulaminie jest mowa o "ustawie" należy przez to rozumieć ustawę z dnia 7 czerwca 2001 roku o zbiorowym zaopatrzeniu w wodę i zbiorowym odprowadzaniu ścieków (tekst jednolity: Dz. U. z 2020 r., poz. 2028 z późn. zm.).         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2.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</w:rPr>
        <w:t xml:space="preserve">Użytym w Regulaminie pojęciom należy przypisywać znaczenie, jakie nadają im akty prawne wyższego rzędu, w tym w szczególności ustawa.             </w:t>
      </w:r>
    </w:p>
    <w:p w:rsidR="00444AFD" w:rsidRDefault="006A3E13">
      <w:pPr>
        <w:pStyle w:val="Standard"/>
        <w:spacing w:line="360" w:lineRule="auto"/>
        <w:ind w:left="-561" w:firstLine="13"/>
        <w:jc w:val="both"/>
        <w:rPr>
          <w:rFonts w:ascii="Tahoma" w:hAnsi="Tahoma"/>
        </w:rPr>
      </w:pPr>
      <w:r>
        <w:rPr>
          <w:rFonts w:ascii="Tahoma" w:hAnsi="Tahoma"/>
        </w:rPr>
        <w:t xml:space="preserve">     </w:t>
      </w: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ROZDZIAŁ II</w:t>
      </w:r>
    </w:p>
    <w:p w:rsidR="00444AFD" w:rsidRDefault="006A3E1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MINIMALNY POZIOM USŁUG ŚWIADCZONYCH PRZEZ PRZEDSIĘBIORSTWO</w:t>
      </w:r>
    </w:p>
    <w:p w:rsidR="00444AFD" w:rsidRDefault="006A3E1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WODOCIĄGOWO – KANALIZACYJNE W ZAKRESIE DOSTARCZANIA WODY</w:t>
      </w:r>
    </w:p>
    <w:p w:rsidR="00444AFD" w:rsidRDefault="006A3E1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 ODPROWADZANIA ŚCIEKÓW</w:t>
      </w:r>
    </w:p>
    <w:p w:rsidR="00444AFD" w:rsidRDefault="00444AFD">
      <w:pPr>
        <w:pStyle w:val="Standard"/>
        <w:jc w:val="center"/>
        <w:rPr>
          <w:rFonts w:ascii="Tahoma" w:hAnsi="Tahoma"/>
          <w:b/>
          <w:bCs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3.</w:t>
      </w:r>
    </w:p>
    <w:p w:rsidR="00444AFD" w:rsidRDefault="006A3E13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 zakresie dostarczania wody przedsiębiorstwo wodociągowo – kanalizacyjne jest zobowiązane:</w:t>
      </w:r>
    </w:p>
    <w:p w:rsidR="00444AFD" w:rsidRPr="00F87203" w:rsidRDefault="006A3E13" w:rsidP="00F87203">
      <w:pPr>
        <w:pStyle w:val="Standard"/>
        <w:numPr>
          <w:ilvl w:val="0"/>
          <w:numId w:val="1"/>
        </w:numPr>
        <w:jc w:val="both"/>
      </w:pPr>
      <w:r>
        <w:rPr>
          <w:rFonts w:cs="Times New Roman"/>
        </w:rPr>
        <w:t xml:space="preserve"> dostarczać odbiorcy usług wodę przeznaczoną do spożycia przez ludzi</w:t>
      </w:r>
      <w:r>
        <w:rPr>
          <w:rFonts w:cs="Times New Roman"/>
          <w:bCs/>
        </w:rPr>
        <w:t xml:space="preserve"> w ilości nie mniejszej niż 0,5 m</w:t>
      </w:r>
      <w:r>
        <w:rPr>
          <w:rFonts w:cs="Times New Roman"/>
          <w:bCs/>
          <w:vertAlign w:val="superscript"/>
        </w:rPr>
        <w:t>3</w:t>
      </w:r>
      <w:r>
        <w:rPr>
          <w:rFonts w:cs="Times New Roman"/>
          <w:bCs/>
        </w:rPr>
        <w:t xml:space="preserve"> na dobę, oraz 6m</w:t>
      </w:r>
      <w:r>
        <w:rPr>
          <w:rFonts w:cs="Times New Roman"/>
          <w:bCs/>
          <w:vertAlign w:val="superscript"/>
        </w:rPr>
        <w:t>3</w:t>
      </w:r>
      <w:r>
        <w:rPr>
          <w:rFonts w:cs="Times New Roman"/>
          <w:bCs/>
        </w:rPr>
        <w:t xml:space="preserve"> rocznie, o parametrach określonych w rozporządzeniu Ministra Zdrowia z dnia 7 grudnia 2017r. (Dz.U.poz.2294) w sprawie, jakości wody przeznaczonej do spożycia przez ludzi, w tym:</w:t>
      </w:r>
    </w:p>
    <w:p w:rsidR="00F87203" w:rsidRPr="00F87203" w:rsidRDefault="00F87203" w:rsidP="00F87203">
      <w:pPr>
        <w:pStyle w:val="Standard"/>
        <w:ind w:left="420"/>
        <w:jc w:val="both"/>
      </w:pPr>
    </w:p>
    <w:p w:rsidR="00444AFD" w:rsidRPr="00F87203" w:rsidRDefault="006A3E13" w:rsidP="00F87203">
      <w:pPr>
        <w:pStyle w:val="Standard"/>
        <w:numPr>
          <w:ilvl w:val="0"/>
          <w:numId w:val="8"/>
        </w:numPr>
        <w:spacing w:line="360" w:lineRule="auto"/>
        <w:ind w:left="426" w:hanging="437"/>
        <w:jc w:val="both"/>
        <w:rPr>
          <w:rFonts w:cs="Times New Roman"/>
          <w:bCs/>
        </w:rPr>
      </w:pPr>
      <w:r>
        <w:rPr>
          <w:rFonts w:cs="Times New Roman"/>
          <w:bCs/>
        </w:rPr>
        <w:t>wymagania mikrobiologiczne określone w części A załącznika nr 1 rozporządzenia,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2693"/>
        <w:gridCol w:w="3546"/>
        <w:gridCol w:w="2409"/>
      </w:tblGrid>
      <w:tr w:rsidR="00444AFD"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Lp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Parametr</w:t>
            </w:r>
          </w:p>
        </w:tc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Wartość parametryczna</w:t>
            </w:r>
          </w:p>
        </w:tc>
      </w:tr>
      <w:tr w:rsidR="00444AFD"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suppressAutoHyphens w:val="0"/>
            </w:pPr>
          </w:p>
        </w:tc>
        <w:tc>
          <w:tcPr>
            <w:tcW w:w="3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mikroorganizmów(jtk lub npl)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Objętość próbki (ml)</w:t>
            </w:r>
          </w:p>
        </w:tc>
      </w:tr>
      <w:tr w:rsidR="00444AF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Eschericha coli</w:t>
            </w:r>
          </w:p>
        </w:tc>
        <w:tc>
          <w:tcPr>
            <w:tcW w:w="3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444AF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Enterokoki</w:t>
            </w:r>
          </w:p>
        </w:tc>
        <w:tc>
          <w:tcPr>
            <w:tcW w:w="3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444AF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pStyle w:val="TableContents"/>
              <w:rPr>
                <w:rFonts w:cs="Times New Roman"/>
              </w:rPr>
            </w:pPr>
          </w:p>
        </w:tc>
        <w:tc>
          <w:tcPr>
            <w:tcW w:w="3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pStyle w:val="TableContents"/>
              <w:rPr>
                <w:rFonts w:cs="Times New Roman"/>
              </w:rPr>
            </w:pPr>
          </w:p>
        </w:tc>
      </w:tr>
    </w:tbl>
    <w:p w:rsidR="00444AFD" w:rsidRDefault="00444AFD">
      <w:pPr>
        <w:pStyle w:val="Standard"/>
        <w:spacing w:line="360" w:lineRule="auto"/>
        <w:rPr>
          <w:rFonts w:cs="Times New Roman"/>
        </w:rPr>
      </w:pPr>
    </w:p>
    <w:p w:rsidR="00444AFD" w:rsidRDefault="006A3E13">
      <w:pPr>
        <w:pStyle w:val="Standard"/>
        <w:spacing w:line="360" w:lineRule="auto"/>
        <w:rPr>
          <w:rFonts w:cs="Times New Roman"/>
          <w:bCs/>
        </w:rPr>
      </w:pPr>
      <w:r>
        <w:rPr>
          <w:rFonts w:cs="Times New Roman"/>
          <w:bCs/>
        </w:rPr>
        <w:lastRenderedPageBreak/>
        <w:t>b) wymagania chemiczne określone w części B załącznika nr 1 rozporządzenia,</w:t>
      </w:r>
    </w:p>
    <w:p w:rsidR="00444AFD" w:rsidRDefault="00444AFD">
      <w:pPr>
        <w:pStyle w:val="Standard"/>
        <w:spacing w:line="360" w:lineRule="auto"/>
        <w:rPr>
          <w:rFonts w:cs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2693"/>
        <w:gridCol w:w="3546"/>
        <w:gridCol w:w="2409"/>
      </w:tblGrid>
      <w:tr w:rsidR="00444AFD"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Lp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Parametry</w:t>
            </w:r>
          </w:p>
        </w:tc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444AFD"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suppressAutoHyphens w:val="0"/>
            </w:pPr>
          </w:p>
        </w:tc>
        <w:tc>
          <w:tcPr>
            <w:tcW w:w="3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mikroorganizmów(jtk lub npl)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Objętość próbki (ml)</w:t>
            </w:r>
          </w:p>
        </w:tc>
      </w:tr>
      <w:tr w:rsidR="00444AF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Eschericha coli</w:t>
            </w:r>
          </w:p>
        </w:tc>
        <w:tc>
          <w:tcPr>
            <w:tcW w:w="3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444AF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Enterokoki</w:t>
            </w:r>
          </w:p>
        </w:tc>
        <w:tc>
          <w:tcPr>
            <w:tcW w:w="3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444AFD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:rsidR="00444AFD" w:rsidRDefault="00444AFD">
      <w:pPr>
        <w:pStyle w:val="Standard"/>
        <w:spacing w:line="360" w:lineRule="auto"/>
        <w:jc w:val="both"/>
        <w:rPr>
          <w:rFonts w:cs="Times New Roman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2126"/>
        <w:gridCol w:w="1984"/>
      </w:tblGrid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Wartość parametryczna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Jednostka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Akrylamid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0,10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Antymon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Arsen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Azotany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mg/l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Azotyny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0,50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mg/l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Benzen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Benzo(a)piren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0,010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Bor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mg/l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Bromiany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Chlorek winylu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0,50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Chrom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Cyjanki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1,2-dichloroetan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Epichlorohydryna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0,10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lastRenderedPageBreak/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Fluorki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mg/l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Kadm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Miedź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mg/l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Nikiel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Ołów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Pestycydy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0,10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Σ pestycydów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0,50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Rtęć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Selen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Σ trichloroetenu i tetrachloroetenu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Σ Wielopierścieniowych węglowodorów aromatycznych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0,10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Trihalometany – ogółem (Σ THM)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300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µg/l</w:t>
            </w:r>
          </w:p>
        </w:tc>
      </w:tr>
    </w:tbl>
    <w:p w:rsidR="00444AFD" w:rsidRDefault="00444AFD">
      <w:pPr>
        <w:pStyle w:val="Standard"/>
        <w:spacing w:line="360" w:lineRule="auto"/>
        <w:rPr>
          <w:rFonts w:cs="Times New Roman"/>
        </w:rPr>
      </w:pPr>
    </w:p>
    <w:p w:rsidR="00444AFD" w:rsidRDefault="006A3E13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c)  parametry wskaźnikowe</w:t>
      </w:r>
    </w:p>
    <w:p w:rsidR="00444AFD" w:rsidRDefault="006A3E13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Tabela 1. Wymagania mikrobiologiczne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2693"/>
        <w:gridCol w:w="3546"/>
        <w:gridCol w:w="2409"/>
      </w:tblGrid>
      <w:tr w:rsidR="00444AFD"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Lp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Parametry</w:t>
            </w:r>
          </w:p>
        </w:tc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pStyle w:val="Standard"/>
              <w:spacing w:line="360" w:lineRule="auto"/>
              <w:rPr>
                <w:rFonts w:cs="Times New Roman"/>
              </w:rPr>
            </w:pPr>
          </w:p>
        </w:tc>
      </w:tr>
      <w:tr w:rsidR="00444AFD"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444AFD">
            <w:pPr>
              <w:suppressAutoHyphens w:val="0"/>
            </w:pPr>
          </w:p>
        </w:tc>
        <w:tc>
          <w:tcPr>
            <w:tcW w:w="3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mikroorganizmów(jtk lub npl)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Objętość próbki (ml)</w:t>
            </w:r>
          </w:p>
        </w:tc>
      </w:tr>
      <w:tr w:rsidR="00444AFD"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Bakterie grupy coli</w:t>
            </w:r>
          </w:p>
        </w:tc>
        <w:tc>
          <w:tcPr>
            <w:tcW w:w="3546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444AFD"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Ogólna liczba mikroorganizmów w 22°C</w:t>
            </w:r>
          </w:p>
        </w:tc>
        <w:tc>
          <w:tcPr>
            <w:tcW w:w="354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Bez nieprawidłowych zmian</w:t>
            </w:r>
          </w:p>
        </w:tc>
        <w:tc>
          <w:tcPr>
            <w:tcW w:w="24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44AFD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0" w:line="251" w:lineRule="atLeast"/>
              <w:jc w:val="center"/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Clostridium perfringens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(łącznie ze sporami)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AFD" w:rsidRDefault="006A3E13">
            <w:pPr>
              <w:pStyle w:val="z"/>
              <w:spacing w:after="196" w:line="251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</w:tbl>
    <w:p w:rsidR="00444AFD" w:rsidRDefault="00444AFD">
      <w:pPr>
        <w:pStyle w:val="Standard"/>
        <w:spacing w:line="360" w:lineRule="auto"/>
        <w:rPr>
          <w:rFonts w:cs="Times New Roman"/>
        </w:rPr>
      </w:pPr>
    </w:p>
    <w:p w:rsidR="00444AFD" w:rsidRDefault="006A3E13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Tabela 2. Wymagania organoleptyczne i fizykochemiczne</w:t>
      </w:r>
    </w:p>
    <w:p w:rsidR="00553BE5" w:rsidRDefault="00553BE5">
      <w:pPr>
        <w:pStyle w:val="Standard"/>
        <w:spacing w:line="360" w:lineRule="auto"/>
        <w:rPr>
          <w:rFonts w:cs="Times New Roman"/>
        </w:rPr>
      </w:pPr>
    </w:p>
    <w:p w:rsidR="00444AFD" w:rsidRDefault="00444AFD">
      <w:pPr>
        <w:pStyle w:val="Standard"/>
        <w:spacing w:line="360" w:lineRule="auto"/>
        <w:rPr>
          <w:rFonts w:cs="Times New Roman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2126"/>
        <w:gridCol w:w="1984"/>
      </w:tblGrid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Wartość parametryczna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Jednostka</w:t>
            </w:r>
          </w:p>
        </w:tc>
      </w:tr>
      <w:tr w:rsidR="00444AFD" w:rsidTr="00F87203">
        <w:trPr>
          <w:trHeight w:val="4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Glin (Al)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Jon amonu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Akceptowalna przez</w:t>
            </w:r>
          </w:p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konsumentów i bez</w:t>
            </w:r>
          </w:p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nieprawidłowych zmian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Chlorki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Mangan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µg/l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Mętność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Akceptowalna przez konsumentów i bez</w:t>
            </w:r>
          </w:p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nieprawidłowych zmian.</w:t>
            </w:r>
          </w:p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Zalecany zakres wartości do 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NTU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Ogólny węgiel organiczny (OWO)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 nieprawidłowych zmian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Stężenie jonów wodoru (pH)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6,5–9,5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Przewodność elektryczna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µS/cm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Siarczany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Akceptowalny przez</w:t>
            </w:r>
          </w:p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konsumentów i bez</w:t>
            </w:r>
          </w:p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nieprawidłowych zmian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Sód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mg/l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</w:pPr>
            <w:r>
              <w:rPr>
                <w:rFonts w:ascii="Times New Roman" w:hAnsi="Times New Roman"/>
              </w:rPr>
              <w:t>Utlenialność z KMnO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</w:pPr>
            <w:r>
              <w:rPr>
                <w:rFonts w:ascii="Times New Roman" w:hAnsi="Times New Roman"/>
              </w:rPr>
              <w:t>mg/l O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Akceptowalny przez</w:t>
            </w:r>
          </w:p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konsumentów i bez</w:t>
            </w:r>
          </w:p>
          <w:p w:rsidR="00444AFD" w:rsidRDefault="006A3E13">
            <w:pPr>
              <w:pStyle w:val="z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nieprawidłowych zmian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444A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Żelazo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µg/l</w:t>
            </w:r>
          </w:p>
        </w:tc>
      </w:tr>
    </w:tbl>
    <w:p w:rsidR="00F87203" w:rsidRDefault="00F87203">
      <w:pPr>
        <w:pStyle w:val="Standard"/>
        <w:spacing w:line="360" w:lineRule="auto"/>
        <w:jc w:val="both"/>
        <w:rPr>
          <w:rFonts w:cs="Times New Roman"/>
        </w:rPr>
      </w:pPr>
    </w:p>
    <w:p w:rsidR="00444AFD" w:rsidRDefault="006A3E1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d) dodatkowe wymagania chemiczne</w:t>
      </w:r>
    </w:p>
    <w:p w:rsidR="00444AFD" w:rsidRDefault="006A3E13" w:rsidP="00F87203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Tabela 1</w:t>
      </w: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4474"/>
        <w:gridCol w:w="2107"/>
        <w:gridCol w:w="1944"/>
      </w:tblGrid>
      <w:tr w:rsidR="00444AF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Parametr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Wartość parametryczna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Jednostka</w:t>
            </w:r>
          </w:p>
        </w:tc>
      </w:tr>
      <w:tr w:rsidR="00444AF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Bromodichlorometan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0,015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mg/l</w:t>
            </w:r>
          </w:p>
        </w:tc>
      </w:tr>
      <w:tr w:rsidR="00444AF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Chlor wolny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mg/l</w:t>
            </w:r>
          </w:p>
        </w:tc>
      </w:tr>
      <w:tr w:rsidR="00444AF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Chloraminy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mg/l</w:t>
            </w:r>
          </w:p>
        </w:tc>
      </w:tr>
      <w:tr w:rsidR="00444AF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Σ chloranów i chlorynów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mg/l</w:t>
            </w:r>
          </w:p>
        </w:tc>
      </w:tr>
      <w:tr w:rsidR="00444AF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5.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Ozon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0,05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mg/l</w:t>
            </w:r>
          </w:p>
        </w:tc>
      </w:tr>
      <w:tr w:rsidR="00444AF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Trichlorometan (chloroform)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0,030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mg/l</w:t>
            </w:r>
          </w:p>
        </w:tc>
      </w:tr>
    </w:tbl>
    <w:p w:rsidR="00444AFD" w:rsidRDefault="00444AFD">
      <w:pPr>
        <w:pStyle w:val="Standard"/>
        <w:spacing w:line="360" w:lineRule="auto"/>
        <w:jc w:val="both"/>
        <w:rPr>
          <w:rFonts w:cs="Times New Roman"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Tabela 2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269"/>
        <w:gridCol w:w="2088"/>
        <w:gridCol w:w="2183"/>
      </w:tblGrid>
      <w:tr w:rsidR="00444AFD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Parametr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Wartość parametryczna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Jednostka</w:t>
            </w:r>
          </w:p>
        </w:tc>
      </w:tr>
      <w:tr w:rsidR="00444AFD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righ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Magnez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7–125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mg/l</w:t>
            </w:r>
          </w:p>
        </w:tc>
      </w:tr>
      <w:tr w:rsidR="00444AFD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righ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Srebro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0,010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mg/l</w:t>
            </w:r>
          </w:p>
        </w:tc>
      </w:tr>
      <w:tr w:rsidR="00444AFD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righ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Twardość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60–500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mg/l</w:t>
            </w:r>
          </w:p>
        </w:tc>
      </w:tr>
    </w:tbl>
    <w:p w:rsidR="00444AFD" w:rsidRDefault="00444AFD">
      <w:pPr>
        <w:pStyle w:val="Standard"/>
        <w:spacing w:line="360" w:lineRule="auto"/>
        <w:jc w:val="both"/>
        <w:rPr>
          <w:rFonts w:ascii="Arial" w:hAnsi="Arial"/>
        </w:rPr>
      </w:pPr>
    </w:p>
    <w:p w:rsidR="00444AFD" w:rsidRDefault="006A3E1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Załącznik nr 4</w:t>
      </w:r>
    </w:p>
    <w:p w:rsidR="00444AFD" w:rsidRDefault="006A3E1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WYMAGANIA RADIOLOGICZNE, JAKIM POWINNA ODPOWIADAĆ WODA, W ZAKRESIE SUBSTANCJI PROMIENIOTWÓRCZYCH</w:t>
      </w:r>
    </w:p>
    <w:p w:rsidR="00444AFD" w:rsidRDefault="00444AFD">
      <w:pPr>
        <w:pStyle w:val="Standard"/>
        <w:jc w:val="both"/>
        <w:rPr>
          <w:rFonts w:cs="Times New Roman"/>
        </w:rPr>
      </w:pPr>
    </w:p>
    <w:p w:rsidR="00444AFD" w:rsidRDefault="006A3E13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A. Wymagania dotyczące substancji promieniotwórczych</w:t>
      </w:r>
    </w:p>
    <w:tbl>
      <w:tblPr>
        <w:tblW w:w="9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4077"/>
        <w:gridCol w:w="2070"/>
        <w:gridCol w:w="2128"/>
      </w:tblGrid>
      <w:tr w:rsidR="00444AF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Parametr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Wartość parametryczna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Jednostka</w:t>
            </w:r>
          </w:p>
        </w:tc>
      </w:tr>
      <w:tr w:rsidR="00444AF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Radon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Bq/1</w:t>
            </w:r>
          </w:p>
        </w:tc>
      </w:tr>
      <w:tr w:rsidR="00444AFD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Tryt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AFD" w:rsidRDefault="006A3E13">
            <w:pPr>
              <w:widowControl/>
              <w:suppressAutoHyphens w:val="0"/>
              <w:spacing w:after="196" w:line="251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Bq/l</w:t>
            </w:r>
          </w:p>
        </w:tc>
      </w:tr>
    </w:tbl>
    <w:p w:rsidR="00444AFD" w:rsidRDefault="006A3E13" w:rsidP="00F87203">
      <w:pPr>
        <w:pStyle w:val="Standard"/>
        <w:ind w:left="284" w:hanging="284"/>
        <w:jc w:val="both"/>
        <w:rPr>
          <w:rFonts w:cs="Times New Roman"/>
        </w:rPr>
      </w:pPr>
      <w:r>
        <w:rPr>
          <w:rFonts w:cs="Times New Roman"/>
        </w:rPr>
        <w:t>2) zapewnić ciągłość dostaw wody z zastrzeżeniem uzasadnionych wyjątków określonych w niniejszym Regulaminie,</w:t>
      </w:r>
    </w:p>
    <w:p w:rsidR="00444AFD" w:rsidRDefault="006A3E13" w:rsidP="00F87203">
      <w:pPr>
        <w:pStyle w:val="Standard"/>
        <w:ind w:left="284" w:hanging="284"/>
        <w:jc w:val="both"/>
        <w:rPr>
          <w:rFonts w:cs="Times New Roman"/>
        </w:rPr>
      </w:pPr>
      <w:r>
        <w:rPr>
          <w:rFonts w:cs="Times New Roman"/>
        </w:rPr>
        <w:t>3) w przypadku dostarczania wody z posiadanej sieci zapewnić dostawę wody pod odpowiednim ciśnieniem, nie mniejszym niż 0,05 MPa i nie większym niż 0,6 MPa, mierzonym u wylotu na zaworze za wodomierzem głównym zainstalowanym na przyłączu wodociągowym,</w:t>
      </w:r>
    </w:p>
    <w:p w:rsidR="00444AFD" w:rsidRDefault="006A3E13" w:rsidP="00F87203">
      <w:pPr>
        <w:pStyle w:val="Standard"/>
        <w:ind w:left="284" w:hanging="284"/>
        <w:jc w:val="both"/>
        <w:rPr>
          <w:rFonts w:cs="Times New Roman"/>
        </w:rPr>
      </w:pPr>
      <w:r>
        <w:rPr>
          <w:rFonts w:cs="Times New Roman"/>
        </w:rPr>
        <w:t>4) prowadzić regularną wewnętrzną kontrolę, jakości dostarczanej wody przeznaczonej do spożycia przez ludzi.</w:t>
      </w: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4.</w:t>
      </w:r>
    </w:p>
    <w:p w:rsidR="00444AFD" w:rsidRDefault="006A3E13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 zakresie odbioru ścieków przedsiębiorstwo wodociągowo – kanalizacyjne jest zobowiązane:</w:t>
      </w:r>
    </w:p>
    <w:p w:rsidR="00444AFD" w:rsidRDefault="006A3E13" w:rsidP="00F87203">
      <w:pPr>
        <w:pStyle w:val="Standard"/>
        <w:ind w:left="142" w:hanging="426"/>
        <w:jc w:val="both"/>
      </w:pPr>
      <w:r>
        <w:rPr>
          <w:rFonts w:cs="Times New Roman"/>
        </w:rPr>
        <w:lastRenderedPageBreak/>
        <w:t xml:space="preserve">    1) przyjmować do posiadanej sieci kanalizacyjnej ścieki wprowadzane przez odbiorców usług </w:t>
      </w:r>
      <w:r>
        <w:rPr>
          <w:rFonts w:cs="Times New Roman"/>
          <w:bCs/>
        </w:rPr>
        <w:t>w ilości nie mniejszej niż 0,5 m³ na dobę, to jest 6m³ rocznie,</w:t>
      </w:r>
    </w:p>
    <w:p w:rsidR="00444AFD" w:rsidRDefault="006A3E13" w:rsidP="00F87203">
      <w:pPr>
        <w:pStyle w:val="Standard"/>
        <w:ind w:left="142" w:hanging="426"/>
        <w:jc w:val="both"/>
        <w:rPr>
          <w:rFonts w:cs="Times New Roman"/>
        </w:rPr>
      </w:pPr>
      <w:r>
        <w:rPr>
          <w:rFonts w:cs="Times New Roman"/>
        </w:rPr>
        <w:t xml:space="preserve">    2) zapewnić ciągły odbiór ścieków o stanie i składzie zgodnym z aktualnie obowiązującymi przepisami i obowiązującą umową o odprowadzaniu ścieków,                     </w:t>
      </w:r>
    </w:p>
    <w:p w:rsidR="00444AFD" w:rsidRDefault="006A3E13" w:rsidP="00F87203">
      <w:pPr>
        <w:pStyle w:val="Standard"/>
        <w:ind w:left="142" w:hanging="426"/>
        <w:jc w:val="both"/>
      </w:pPr>
      <w:r>
        <w:rPr>
          <w:rFonts w:cs="Times New Roman"/>
        </w:rPr>
        <w:t xml:space="preserve">    3) odprowadzać wprowadzone ścieki do posiadanych urządzeń kanalizacyjnych.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444AFD" w:rsidRDefault="006A3E13">
      <w:pPr>
        <w:pStyle w:val="Standard"/>
        <w:spacing w:line="360" w:lineRule="auto"/>
        <w:jc w:val="center"/>
      </w:pPr>
      <w:r>
        <w:rPr>
          <w:rFonts w:cs="Times New Roman"/>
          <w:b/>
          <w:bCs/>
          <w:u w:val="single"/>
        </w:rPr>
        <w:t>ROZDZIAŁ III</w:t>
      </w:r>
    </w:p>
    <w:p w:rsidR="00444AFD" w:rsidRDefault="006A3E1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SZCZEGÓŁOWE WARUNKI I TRYB ZAWIERANIA UMÓW Z ODBIORCAMI USŁUG</w:t>
      </w:r>
    </w:p>
    <w:p w:rsidR="00444AFD" w:rsidRDefault="00444AFD">
      <w:pPr>
        <w:pStyle w:val="Standard"/>
        <w:jc w:val="center"/>
        <w:rPr>
          <w:rFonts w:cs="Times New Roman"/>
          <w:b/>
          <w:bCs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5.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1.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Świadczenie usług zaopatrzenia w wodę i odbiór ścieków odbywa się w oparciu ·o pisemną umowę zawartą między przedsiębiorstwem wodociągowo – kanalizacyjnym, a odbiorcą usług zgodnie z art. 6 ustawy.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2.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W terminie do 7 dni od dnia złożenia przez przyszłego odbiorcę usług wniosku o zawarcie umowy, o którym mowa w § 6 niniejszego Regulaminu, przedsiębiorstwo</w:t>
      </w:r>
      <w:r>
        <w:rPr>
          <w:rFonts w:ascii="Tahoma" w:hAnsi="Tahoma"/>
        </w:rPr>
        <w:t xml:space="preserve"> </w:t>
      </w:r>
      <w:r>
        <w:rPr>
          <w:rFonts w:cs="Times New Roman"/>
        </w:rPr>
        <w:t>wodociągowo – kanalizacyjne sporządza i przedkłada przyszłemu odbiorcy usług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  <w:r>
        <w:rPr>
          <w:rFonts w:cs="Times New Roman"/>
        </w:rPr>
        <w:t>projekt umowy o zaopatrzenie w wodę (i) lub odprowadzanie ścieków.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 xml:space="preserve">3. </w:t>
      </w:r>
      <w:r>
        <w:rPr>
          <w:rFonts w:cs="Times New Roman"/>
          <w:bCs/>
        </w:rPr>
        <w:tab/>
      </w:r>
      <w:r>
        <w:rPr>
          <w:rFonts w:cs="Times New Roman"/>
        </w:rPr>
        <w:t xml:space="preserve">Przedsiębiorstwo wodociągowo – kanalizacyjne udostępnia na swojej stronie </w:t>
      </w:r>
      <w:r>
        <w:rPr>
          <w:rFonts w:cs="Times New Roman"/>
        </w:rPr>
        <w:tab/>
        <w:t>internetowej aktualnie obowiązujące ogólne warunki umów, o ile się nimi posługuje.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 xml:space="preserve">4. </w:t>
      </w:r>
      <w:r>
        <w:rPr>
          <w:rFonts w:cs="Times New Roman"/>
        </w:rPr>
        <w:t>Umowa o zaopatrzenie w wodę (i) lub odprowadzanie ścieków może być zawarta na czas określony lub nieokreślony.</w:t>
      </w:r>
    </w:p>
    <w:p w:rsidR="00444AFD" w:rsidRDefault="006A3E13">
      <w:pPr>
        <w:pStyle w:val="Standard"/>
        <w:spacing w:line="360" w:lineRule="auto"/>
        <w:ind w:left="284" w:hanging="28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6.</w:t>
      </w:r>
      <w:r>
        <w:rPr>
          <w:rFonts w:cs="Times New Roman"/>
          <w:b/>
          <w:bCs/>
        </w:rPr>
        <w:tab/>
      </w:r>
    </w:p>
    <w:p w:rsidR="00444AFD" w:rsidRDefault="006A3E13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Wniosek o zawarcie umowy o zaopatrzenie w wodę lub odprowadzanie ścieków z przedsiębiorstwem wodociągowo – kanalizacyjnym powinien w szczególności określać:</w:t>
      </w:r>
    </w:p>
    <w:p w:rsidR="00444AFD" w:rsidRDefault="006A3E13" w:rsidP="00F87203">
      <w:pPr>
        <w:pStyle w:val="Standard"/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1) imię, nazwisko (lub nazwę), oraz adres zamieszkania lub siedziby wnioskodawcy,</w:t>
      </w:r>
    </w:p>
    <w:p w:rsidR="00444AFD" w:rsidRDefault="006A3E13" w:rsidP="00F87203">
      <w:pPr>
        <w:pStyle w:val="Standard"/>
        <w:numPr>
          <w:ilvl w:val="0"/>
          <w:numId w:val="3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wskazanie nieruchomości, co, do której wnioskodawca chce zawrzeć umowę,</w:t>
      </w:r>
    </w:p>
    <w:p w:rsidR="00444AFD" w:rsidRDefault="006A3E13" w:rsidP="00F87203">
      <w:pPr>
        <w:pStyle w:val="Standard"/>
        <w:numPr>
          <w:ilvl w:val="0"/>
          <w:numId w:val="3"/>
        </w:numPr>
        <w:ind w:left="284" w:hanging="284"/>
        <w:rPr>
          <w:rFonts w:cs="Times New Roman"/>
        </w:rPr>
      </w:pPr>
      <w:r>
        <w:rPr>
          <w:rFonts w:cs="Times New Roman"/>
        </w:rPr>
        <w:t>oświadczenie wnioskodawcy, czy nieruchomość jest podłączona do sieci wodociągowej przedsiębiorstwa wodociągowo – kanalizacyjnego, czy też posiada własne ujęcie wody,</w:t>
      </w:r>
    </w:p>
    <w:p w:rsidR="00444AFD" w:rsidRDefault="006A3E13" w:rsidP="00F87203">
      <w:pPr>
        <w:pStyle w:val="Standard"/>
        <w:ind w:left="284"/>
        <w:rPr>
          <w:rFonts w:cs="Times New Roman"/>
        </w:rPr>
      </w:pPr>
      <w:r>
        <w:rPr>
          <w:rFonts w:cs="Times New Roman"/>
        </w:rPr>
        <w:t>oświadczenie czy nieruchomość jest podłączona do sieci kanalizacyjnej przedsiębiorstwa wodociągowo – kanalizacyjnego, czy też wprowadza ścieki do zbiornika bezodpływowego lub przydomowej oczyszczalni ścieków,</w:t>
      </w:r>
    </w:p>
    <w:p w:rsidR="00444AFD" w:rsidRDefault="006A3E13" w:rsidP="00F87203">
      <w:pPr>
        <w:pStyle w:val="Standard"/>
        <w:numPr>
          <w:ilvl w:val="0"/>
          <w:numId w:val="3"/>
        </w:numPr>
        <w:ind w:left="426" w:hanging="426"/>
        <w:jc w:val="both"/>
        <w:rPr>
          <w:rFonts w:cs="Times New Roman"/>
        </w:rPr>
      </w:pPr>
      <w:r>
        <w:rPr>
          <w:rFonts w:cs="Times New Roman"/>
        </w:rPr>
        <w:t>oświadczenie wnioskodawcy, na jakie cele będzie wykorzystywał dostarczoną wodę,</w:t>
      </w:r>
    </w:p>
    <w:p w:rsidR="00444AFD" w:rsidRDefault="006A3E13" w:rsidP="00F87203">
      <w:pPr>
        <w:pStyle w:val="Standard"/>
        <w:numPr>
          <w:ilvl w:val="0"/>
          <w:numId w:val="3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oświadczenie wnioskodawcy, jakiego rodzaju ścieki będą odprowadzane przez wnioskodawcę na podstawie zawartej umowy (przemysłowe, bytowe lub komunalne).</w:t>
      </w:r>
    </w:p>
    <w:p w:rsidR="00444AFD" w:rsidRDefault="00444AFD">
      <w:pPr>
        <w:pStyle w:val="Standard"/>
        <w:spacing w:line="360" w:lineRule="auto"/>
        <w:jc w:val="both"/>
        <w:rPr>
          <w:rFonts w:cs="Times New Roman"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7.</w:t>
      </w:r>
    </w:p>
    <w:p w:rsidR="00444AFD" w:rsidRDefault="006A3E13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Wniosek właściciela lub zarządcy budynku wielolokalowego lub budynków wielolokalowych o zawarcie umowy o zaopatrzenie w wodę przez przedsiębiorstwo wodociągowo – kanalizacyjne z osobą korzystającą z lokalu powinien zawierać elementy wskazane w § 6 Regulaminu, a ponadto: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</w:rPr>
        <w:t xml:space="preserve">1) </w:t>
      </w:r>
      <w:r>
        <w:rPr>
          <w:rFonts w:cs="Times New Roman"/>
          <w:color w:val="000000"/>
        </w:rPr>
        <w:t>imię, nazwisko (lub nazwę), oraz adres osoby korzystającej z lokalu, co, do której składany jest wniosek o zawarcie umowy wraz z umocowaniem do złożenia wniosku w imieniu i na rzecz tej osoby,</w:t>
      </w:r>
      <w:r>
        <w:rPr>
          <w:rFonts w:cs="Times New Roman"/>
          <w:color w:val="000000"/>
        </w:rPr>
        <w:tab/>
      </w:r>
    </w:p>
    <w:p w:rsidR="00444AFD" w:rsidRDefault="006A3E13" w:rsidP="00F87203">
      <w:pPr>
        <w:pStyle w:val="Standard"/>
      </w:pPr>
      <w:r>
        <w:rPr>
          <w:rFonts w:cs="Times New Roman"/>
        </w:rPr>
        <w:t>2) wskazanie lokalu, co, do którego wnioskodawca żąda zawarcia umowy.</w:t>
      </w:r>
    </w:p>
    <w:p w:rsidR="00444AFD" w:rsidRDefault="00444AFD">
      <w:pPr>
        <w:pStyle w:val="Standard"/>
        <w:spacing w:line="360" w:lineRule="auto"/>
        <w:ind w:firstLine="720"/>
        <w:jc w:val="center"/>
        <w:rPr>
          <w:rFonts w:ascii="Tahoma" w:hAnsi="Tahoma"/>
          <w:b/>
          <w:bCs/>
          <w:u w:val="single"/>
        </w:rPr>
      </w:pPr>
    </w:p>
    <w:p w:rsidR="00F87203" w:rsidRDefault="00F87203">
      <w:pPr>
        <w:pStyle w:val="Standard"/>
        <w:spacing w:line="360" w:lineRule="auto"/>
        <w:ind w:firstLine="720"/>
        <w:jc w:val="center"/>
        <w:rPr>
          <w:rFonts w:cs="Times New Roman"/>
          <w:b/>
          <w:bCs/>
          <w:u w:val="single"/>
        </w:rPr>
      </w:pPr>
    </w:p>
    <w:p w:rsidR="00444AFD" w:rsidRDefault="006A3E13">
      <w:pPr>
        <w:pStyle w:val="Standard"/>
        <w:spacing w:line="360" w:lineRule="auto"/>
        <w:ind w:firstLine="720"/>
        <w:jc w:val="center"/>
      </w:pPr>
      <w:r>
        <w:rPr>
          <w:rFonts w:cs="Times New Roman"/>
          <w:b/>
          <w:bCs/>
          <w:u w:val="single"/>
        </w:rPr>
        <w:lastRenderedPageBreak/>
        <w:t>ROZDZIAŁ IV</w:t>
      </w:r>
    </w:p>
    <w:p w:rsidR="00444AFD" w:rsidRDefault="006A3E1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SPOSÓB ROZLICZEŃ W OPARCIU O CENY I STAWKI OPŁAT USTALONE</w:t>
      </w:r>
    </w:p>
    <w:p w:rsidR="00444AFD" w:rsidRDefault="006A3E1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TARYFACH</w:t>
      </w:r>
    </w:p>
    <w:p w:rsidR="00444AFD" w:rsidRDefault="00444AFD">
      <w:pPr>
        <w:pStyle w:val="Standard"/>
        <w:jc w:val="both"/>
        <w:rPr>
          <w:rFonts w:ascii="Tahoma" w:hAnsi="Tahoma"/>
          <w:b/>
          <w:bCs/>
        </w:rPr>
      </w:pPr>
    </w:p>
    <w:p w:rsidR="00444AFD" w:rsidRDefault="006A3E13">
      <w:pPr>
        <w:pStyle w:val="Standard"/>
        <w:spacing w:line="360" w:lineRule="auto"/>
        <w:ind w:firstLine="720"/>
        <w:jc w:val="center"/>
      </w:pPr>
      <w:r>
        <w:rPr>
          <w:rFonts w:cs="Times New Roman"/>
          <w:b/>
          <w:bCs/>
        </w:rPr>
        <w:t>§ 8.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1.</w:t>
      </w:r>
      <w:r>
        <w:rPr>
          <w:rFonts w:cs="Times New Roman"/>
        </w:rPr>
        <w:t xml:space="preserve"> Podstawę ustalenia ilości pobranej wody lub wprowadzonych ścieków stanowią: wodomierz główny, urządzenie pomiarowe albo przeciętne normy zużycia.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2.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Stosowanie przez przedsiębiorstwo wodociągowo – kanalizacyjne cen i stawek opłat wynikających z nowych, podanych do wiadomości publicznej taryf, nie wymaga odrębnego informowania odbiorców usług o ich rodzajach ani wysokości.</w:t>
      </w:r>
    </w:p>
    <w:p w:rsidR="00444AFD" w:rsidRDefault="00444AFD">
      <w:pPr>
        <w:pStyle w:val="Standard"/>
        <w:spacing w:line="360" w:lineRule="auto"/>
        <w:ind w:left="284" w:hanging="284"/>
        <w:jc w:val="both"/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§ 9.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1.</w:t>
      </w:r>
      <w:r>
        <w:rPr>
          <w:rFonts w:cs="Times New Roman"/>
        </w:rPr>
        <w:t xml:space="preserve"> Podstawą obciążenia odbiorcy usług należnościami za usługi dostarczania wody i (lub) odprowadzanie ścieków świadczone przez przedsiębiorstwo wodociągowo – kanalizacyjne jest faktura.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2.</w:t>
      </w:r>
      <w:r>
        <w:rPr>
          <w:rFonts w:cs="Times New Roman"/>
        </w:rPr>
        <w:t xml:space="preserve"> Datę, formę i sposób zapłaty przedsiębiorstwo wodociągowo – kanalizacyjne określa </w:t>
      </w:r>
      <w:r w:rsidR="00904437">
        <w:rPr>
          <w:rFonts w:cs="Times New Roman"/>
        </w:rPr>
        <w:t>w fakturze</w:t>
      </w:r>
      <w:r>
        <w:rPr>
          <w:rFonts w:cs="Times New Roman"/>
        </w:rPr>
        <w:t>, zgodnie z zawartą umową o zaopatrzenie w wodę (i) lub odprowadzanie ścieków.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 xml:space="preserve">3. </w:t>
      </w:r>
      <w:r>
        <w:rPr>
          <w:rFonts w:cs="Times New Roman"/>
        </w:rPr>
        <w:t xml:space="preserve">W przypadku budynku wielolokalowego, w którym odbiorcami usług są również </w:t>
      </w:r>
      <w:r>
        <w:rPr>
          <w:rFonts w:cs="Times New Roman"/>
        </w:rPr>
        <w:tab/>
        <w:t>osoby korzystające z poszczególnych lokali, przedsiębiorstwo wodociągowo – kanalizacyjne wystawia odrębną fakturę zarządcy lub</w:t>
      </w:r>
      <w:r w:rsidR="00904437">
        <w:rPr>
          <w:rFonts w:cs="Times New Roman"/>
        </w:rPr>
        <w:t xml:space="preserve"> właścicielowi takiego budynku </w:t>
      </w:r>
      <w:r>
        <w:rPr>
          <w:rFonts w:cs="Times New Roman"/>
        </w:rPr>
        <w:t>wielolokalowego oraz odrębne faktury osobom korzystającym z lokali, lub wyłącznie odbiorcom usług będących osobami korzystającymi z lokali, z którymi przedsiębiorstwo wodociągowo – kanalizacyjne zawarło odrębne umowy o zaopatrzenie w wodę i odprowadzanie ścieków.</w:t>
      </w:r>
    </w:p>
    <w:p w:rsidR="00444AFD" w:rsidRDefault="00444AFD">
      <w:pPr>
        <w:pStyle w:val="Standard"/>
        <w:spacing w:line="360" w:lineRule="auto"/>
        <w:ind w:left="705"/>
        <w:jc w:val="center"/>
        <w:rPr>
          <w:rFonts w:ascii="Tahoma" w:hAnsi="Tahoma"/>
          <w:b/>
          <w:bCs/>
        </w:rPr>
      </w:pPr>
    </w:p>
    <w:p w:rsidR="00444AFD" w:rsidRDefault="006A3E13">
      <w:pPr>
        <w:pStyle w:val="Standard"/>
        <w:spacing w:line="360" w:lineRule="auto"/>
        <w:jc w:val="center"/>
      </w:pP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u w:val="single"/>
        </w:rPr>
        <w:t>ROZDZIAŁ V</w:t>
      </w:r>
    </w:p>
    <w:p w:rsidR="00444AFD" w:rsidRDefault="006A3E13">
      <w:pPr>
        <w:pStyle w:val="Standard"/>
        <w:ind w:firstLine="7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WARUNKI PRZYŁĄCZANIA DO SIECI</w:t>
      </w:r>
    </w:p>
    <w:p w:rsidR="00444AFD" w:rsidRDefault="00444AFD">
      <w:pPr>
        <w:pStyle w:val="Standard"/>
        <w:jc w:val="center"/>
        <w:rPr>
          <w:rFonts w:cs="Times New Roman"/>
          <w:b/>
          <w:bCs/>
        </w:rPr>
      </w:pPr>
    </w:p>
    <w:p w:rsidR="00444AFD" w:rsidRDefault="006A3E13">
      <w:pPr>
        <w:pStyle w:val="Standard"/>
        <w:spacing w:line="360" w:lineRule="auto"/>
        <w:ind w:firstLine="7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10.</w:t>
      </w:r>
    </w:p>
    <w:p w:rsidR="00444AFD" w:rsidRDefault="006A3E13" w:rsidP="00F87203">
      <w:pPr>
        <w:pStyle w:val="Standard"/>
        <w:ind w:left="426" w:hanging="426"/>
        <w:jc w:val="both"/>
      </w:pPr>
      <w:r>
        <w:rPr>
          <w:rFonts w:ascii="Tahoma" w:hAnsi="Tahoma"/>
          <w:bCs/>
        </w:rPr>
        <w:t>1.</w:t>
      </w:r>
      <w:r w:rsidR="00582C01">
        <w:rPr>
          <w:rFonts w:ascii="Tahoma" w:hAnsi="Tahoma"/>
        </w:rPr>
        <w:t xml:space="preserve"> </w:t>
      </w:r>
      <w:r>
        <w:rPr>
          <w:rFonts w:cs="Times New Roman"/>
          <w:color w:val="000000"/>
        </w:rPr>
        <w:t>Przyłączenie nieruchomości do sieci wodociągowej lub kanalizacyjnej odbywa się na pisemny wniosek złożony przez osobę ubiegającą się o przyłączenie nieruchomości w oparciu o wydane przez przedsiębiorstwo wodociągowo - kanalizacyjne warunki przyłączenia.</w:t>
      </w:r>
    </w:p>
    <w:p w:rsidR="00FE2AA3" w:rsidRDefault="00582C01" w:rsidP="00F87203">
      <w:pPr>
        <w:pStyle w:val="Standard"/>
        <w:ind w:left="426" w:hanging="426"/>
        <w:jc w:val="both"/>
      </w:pPr>
      <w:r>
        <w:t xml:space="preserve">2.  </w:t>
      </w:r>
      <w:r w:rsidR="00FE2AA3" w:rsidRPr="00FE2AA3">
        <w:rPr>
          <w:rFonts w:cs="Times New Roman"/>
          <w:color w:val="000000"/>
        </w:rPr>
        <w:t>Wniosek</w:t>
      </w:r>
      <w:r w:rsidR="00FE2AA3">
        <w:t xml:space="preserve">, o którym mowa w ust. 1, poza informacjami, o których mowa w art. 19a ust. 4 ustawy może zawierać: </w:t>
      </w:r>
    </w:p>
    <w:p w:rsidR="00FE2AA3" w:rsidRDefault="00FE2AA3" w:rsidP="00F87203">
      <w:pPr>
        <w:pStyle w:val="Standard"/>
        <w:ind w:left="426" w:hanging="426"/>
        <w:jc w:val="both"/>
      </w:pPr>
      <w:r>
        <w:t xml:space="preserve">       1) numer telefonu, </w:t>
      </w:r>
    </w:p>
    <w:p w:rsidR="00FE2AA3" w:rsidRDefault="00FE2AA3" w:rsidP="00F87203">
      <w:pPr>
        <w:pStyle w:val="Standard"/>
        <w:ind w:left="426" w:hanging="426"/>
        <w:jc w:val="both"/>
      </w:pPr>
      <w:r>
        <w:t xml:space="preserve">       2) adres poczty elektronicznej, </w:t>
      </w:r>
    </w:p>
    <w:p w:rsidR="00FE2AA3" w:rsidRDefault="00FE2AA3" w:rsidP="00F87203">
      <w:pPr>
        <w:pStyle w:val="Standard"/>
        <w:ind w:left="426" w:hanging="426"/>
        <w:jc w:val="both"/>
      </w:pPr>
      <w:r>
        <w:t xml:space="preserve">       3) wskazanie rodzaju i parametrów instalacji odbiorczych, </w:t>
      </w:r>
    </w:p>
    <w:p w:rsidR="00FE2AA3" w:rsidRDefault="00FE2AA3" w:rsidP="00F87203">
      <w:pPr>
        <w:pStyle w:val="Standard"/>
        <w:ind w:left="709" w:hanging="709"/>
        <w:jc w:val="both"/>
      </w:pPr>
      <w:r>
        <w:t xml:space="preserve">       4) wskazanie planowanego terminu rozpoczęcia poboru wody lub odprowadzania ścieków, </w:t>
      </w:r>
    </w:p>
    <w:p w:rsidR="00444AFD" w:rsidRDefault="00FE2AA3" w:rsidP="00553BE5">
      <w:pPr>
        <w:pStyle w:val="Standard"/>
        <w:ind w:left="709" w:hanging="709"/>
        <w:jc w:val="both"/>
        <w:rPr>
          <w:rFonts w:cs="Times New Roman"/>
        </w:rPr>
      </w:pPr>
      <w:r>
        <w:t xml:space="preserve">       5) w przypadku wystąpienia w imieniu podmiotu ubiegającego się o przyłączenie przez pełnomocnika - pisemne upoważnienie wnioskodawcy dla pełnomocnika.</w:t>
      </w:r>
    </w:p>
    <w:p w:rsidR="00444AFD" w:rsidRDefault="00904437" w:rsidP="00F87203">
      <w:pPr>
        <w:pStyle w:val="Standard"/>
        <w:ind w:left="426" w:hanging="426"/>
        <w:jc w:val="both"/>
      </w:pPr>
      <w:r>
        <w:rPr>
          <w:rFonts w:cs="Times New Roman"/>
          <w:bCs/>
          <w:color w:val="000000"/>
        </w:rPr>
        <w:t xml:space="preserve">  </w:t>
      </w:r>
      <w:r w:rsidR="006A3E13">
        <w:rPr>
          <w:rFonts w:cs="Times New Roman"/>
          <w:bCs/>
          <w:color w:val="000000"/>
        </w:rPr>
        <w:t>3</w:t>
      </w:r>
      <w:r w:rsidR="006A3E13">
        <w:rPr>
          <w:rFonts w:cs="Times New Roman"/>
          <w:bCs/>
          <w:color w:val="FF0000"/>
        </w:rPr>
        <w:t>.</w:t>
      </w:r>
      <w:r w:rsidR="006A3E13">
        <w:rPr>
          <w:rFonts w:cs="Times New Roman"/>
          <w:color w:val="000000"/>
        </w:rPr>
        <w:tab/>
        <w:t>Na pisemny wniosek podmiotu ubiegającego się o przyłączenie do sieci przedsiębiorstwo wodociągowo – kanalizacyjne jest obowiązane wydać warunki przyłączenia do sieci albo uzasadnić odmowę ich wydania, w terminie:</w:t>
      </w:r>
    </w:p>
    <w:p w:rsidR="00444AFD" w:rsidRDefault="006A3E13" w:rsidP="00F87203">
      <w:pPr>
        <w:pStyle w:val="Standard"/>
        <w:ind w:left="426" w:hanging="142"/>
        <w:jc w:val="both"/>
      </w:pPr>
      <w:r>
        <w:rPr>
          <w:rFonts w:cs="Times New Roman"/>
          <w:color w:val="FF0000"/>
        </w:rPr>
        <w:tab/>
      </w:r>
      <w:r>
        <w:rPr>
          <w:rFonts w:cs="Times New Roman"/>
          <w:color w:val="000000"/>
        </w:rPr>
        <w:t xml:space="preserve">1) 21 dni - od dnia złożenia wniosku o wydanie warunków przyłączenia do sieci, w przypadku budynków mieszkalnych jednorodzinnych, w tym znajdujących się w </w:t>
      </w:r>
      <w:r>
        <w:rPr>
          <w:rFonts w:cs="Times New Roman"/>
          <w:color w:val="000000"/>
        </w:rPr>
        <w:lastRenderedPageBreak/>
        <w:t>zabudowie zagrodowej;</w:t>
      </w:r>
    </w:p>
    <w:p w:rsidR="00444AFD" w:rsidRDefault="006A3E13" w:rsidP="00F87203">
      <w:pPr>
        <w:pStyle w:val="Standard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2) 45 dni - od dnia złożenia wniosku o wydanie warunków przyłączenia do sieci, w pozostałych przypadkach.</w:t>
      </w:r>
    </w:p>
    <w:p w:rsidR="00444AFD" w:rsidRDefault="006A3E13" w:rsidP="00F87203">
      <w:pPr>
        <w:pStyle w:val="Standard"/>
        <w:ind w:left="426" w:hanging="426"/>
        <w:jc w:val="both"/>
      </w:pPr>
      <w:r>
        <w:rPr>
          <w:rFonts w:cs="Times New Roman"/>
          <w:bCs/>
          <w:color w:val="000000"/>
        </w:rPr>
        <w:t>4</w:t>
      </w:r>
      <w:r w:rsidR="00582C01">
        <w:rPr>
          <w:rFonts w:cs="Times New Roman"/>
          <w:bCs/>
          <w:color w:val="FF0000"/>
        </w:rPr>
        <w:t xml:space="preserve">.  </w:t>
      </w:r>
      <w:r>
        <w:rPr>
          <w:rFonts w:cs="Times New Roman"/>
          <w:bCs/>
          <w:color w:val="000000"/>
        </w:rPr>
        <w:t>W szczególnie uzasadnionych przypadkach przedsiębiorstwo wodociągowo- kanalizacyjne może przedłużyć terminy określone w ust. 1, odpowiednio o kolejne 21 albo 45 dni, po uprzednim zawiadomieniu podmiotu ubiegającego się o przyłączenie do sieci z podaniem uzasadnienia przyczyn tego przedłużenia.</w:t>
      </w:r>
    </w:p>
    <w:p w:rsidR="00444AFD" w:rsidRDefault="00582C01" w:rsidP="00F87203">
      <w:pPr>
        <w:pStyle w:val="Standard"/>
        <w:jc w:val="both"/>
      </w:pPr>
      <w:r>
        <w:rPr>
          <w:rFonts w:cs="Times New Roman"/>
          <w:bCs/>
        </w:rPr>
        <w:t xml:space="preserve">5.  </w:t>
      </w:r>
      <w:r w:rsidR="006A3E13">
        <w:rPr>
          <w:rFonts w:cs="Times New Roman"/>
        </w:rPr>
        <w:t>Warunki przyłączenia do sieci powinny w szczególności określać:</w:t>
      </w:r>
    </w:p>
    <w:p w:rsidR="00444AFD" w:rsidRDefault="00904437" w:rsidP="00F87203">
      <w:pPr>
        <w:pStyle w:val="Standard"/>
        <w:jc w:val="both"/>
      </w:pPr>
      <w:r>
        <w:rPr>
          <w:rFonts w:ascii="Tahoma" w:hAnsi="Tahoma"/>
        </w:rPr>
        <w:t xml:space="preserve">     </w:t>
      </w:r>
      <w:r w:rsidR="006A3E13">
        <w:rPr>
          <w:rFonts w:cs="Times New Roman"/>
        </w:rPr>
        <w:t>1) lokalizację nieruchomości osoby ubiegającej się o przyłączenie,</w:t>
      </w:r>
    </w:p>
    <w:p w:rsidR="00444AFD" w:rsidRDefault="00904437" w:rsidP="00F87203">
      <w:pPr>
        <w:pStyle w:val="Standard"/>
        <w:ind w:left="567" w:hanging="851"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="00582C01">
        <w:rPr>
          <w:rFonts w:cs="Times New Roman"/>
        </w:rPr>
        <w:t>2) miejsce</w:t>
      </w:r>
      <w:r w:rsidR="006A3E13">
        <w:rPr>
          <w:rFonts w:cs="Times New Roman"/>
        </w:rPr>
        <w:t xml:space="preserve"> i sposób przyłączenia nierucho</w:t>
      </w:r>
      <w:r>
        <w:rPr>
          <w:rFonts w:cs="Times New Roman"/>
        </w:rPr>
        <w:t>mości do sieci wodociągowej lub kanalizacyjnej</w:t>
      </w:r>
      <w:r w:rsidR="006A3E13">
        <w:rPr>
          <w:rFonts w:cs="Times New Roman"/>
        </w:rPr>
        <w:t>,</w:t>
      </w:r>
    </w:p>
    <w:p w:rsidR="00444AFD" w:rsidRDefault="00582C01" w:rsidP="00F87203">
      <w:pPr>
        <w:pStyle w:val="Standard"/>
        <w:ind w:left="709" w:hanging="709"/>
        <w:jc w:val="both"/>
        <w:rPr>
          <w:rFonts w:cs="Times New Roman"/>
        </w:rPr>
      </w:pPr>
      <w:r>
        <w:rPr>
          <w:rFonts w:cs="Times New Roman"/>
        </w:rPr>
        <w:t xml:space="preserve">     </w:t>
      </w:r>
      <w:r w:rsidR="006A3E13">
        <w:rPr>
          <w:rFonts w:cs="Times New Roman"/>
        </w:rPr>
        <w:t xml:space="preserve"> 3) zakres dokumentacji technicznej, którą opracowuje osoba ubiegająca się o przy</w:t>
      </w:r>
      <w:r w:rsidR="00904437">
        <w:rPr>
          <w:rFonts w:cs="Times New Roman"/>
        </w:rPr>
        <w:t>łączenie nieruchomości do sieci,</w:t>
      </w:r>
    </w:p>
    <w:p w:rsidR="00444AFD" w:rsidRDefault="00582C01" w:rsidP="00F87203">
      <w:pPr>
        <w:pStyle w:val="Standard"/>
        <w:ind w:firstLine="142"/>
        <w:jc w:val="both"/>
      </w:pPr>
      <w:r>
        <w:rPr>
          <w:rFonts w:cs="Times New Roman"/>
        </w:rPr>
        <w:t xml:space="preserve">    </w:t>
      </w:r>
      <w:r w:rsidR="00904437">
        <w:rPr>
          <w:rFonts w:cs="Times New Roman"/>
        </w:rPr>
        <w:t>4) okres ważności,</w:t>
      </w:r>
    </w:p>
    <w:p w:rsidR="00444AFD" w:rsidRDefault="00904437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  <w:r w:rsidR="006A3E13">
        <w:rPr>
          <w:rFonts w:cs="Times New Roman"/>
        </w:rPr>
        <w:t>5) załącznik graficzny.</w:t>
      </w:r>
    </w:p>
    <w:p w:rsidR="00444AFD" w:rsidRDefault="006A3E13" w:rsidP="00F87203">
      <w:pPr>
        <w:pStyle w:val="Standard"/>
        <w:numPr>
          <w:ilvl w:val="0"/>
          <w:numId w:val="4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Przedsiębiorstwo wodociągowo-kanalizacyjne wydając warunki będzie się kierować względami ekonomicznymi dla budowy przyłączy, uwzględniając istniejącą infrastrukturę techniczną.</w:t>
      </w:r>
    </w:p>
    <w:p w:rsidR="00444AFD" w:rsidRDefault="00444AFD" w:rsidP="00904437">
      <w:pPr>
        <w:pStyle w:val="Standard"/>
        <w:spacing w:line="360" w:lineRule="auto"/>
        <w:ind w:left="426" w:hanging="426"/>
        <w:rPr>
          <w:rFonts w:ascii="Tahoma" w:hAnsi="Tahoma"/>
          <w:b/>
          <w:u w:val="single"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ROZDZIAŁ VI</w:t>
      </w:r>
    </w:p>
    <w:p w:rsidR="00444AFD" w:rsidRDefault="006A3E1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TECHNICZNE WARUNKI OKREŚLAJĄCE MOŻLIWOŚĆ DOSTĘPU DO USŁUG</w:t>
      </w:r>
    </w:p>
    <w:p w:rsidR="00444AFD" w:rsidRDefault="006A3E1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WODOCIĄGOWO – KANALIZACYJNYCH</w:t>
      </w:r>
    </w:p>
    <w:p w:rsidR="00444AFD" w:rsidRDefault="00444AFD">
      <w:pPr>
        <w:pStyle w:val="Standard"/>
        <w:spacing w:line="360" w:lineRule="auto"/>
        <w:rPr>
          <w:rFonts w:ascii="Tahoma" w:hAnsi="Tahoma"/>
          <w:b/>
          <w:bCs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11.</w:t>
      </w:r>
    </w:p>
    <w:p w:rsidR="00444AFD" w:rsidRDefault="006A3E13" w:rsidP="00F87203">
      <w:pPr>
        <w:pStyle w:val="Standard"/>
        <w:ind w:hanging="142"/>
        <w:jc w:val="both"/>
      </w:pPr>
      <w:r>
        <w:rPr>
          <w:rFonts w:cs="Times New Roman"/>
          <w:bCs/>
        </w:rPr>
        <w:t>1.</w:t>
      </w:r>
      <w:r>
        <w:rPr>
          <w:rFonts w:cs="Times New Roman"/>
        </w:rPr>
        <w:t xml:space="preserve"> Ustala się techniczne warunki określające możliwość dostępu do usług </w:t>
      </w:r>
      <w:r>
        <w:rPr>
          <w:rFonts w:cs="Times New Roman"/>
        </w:rPr>
        <w:tab/>
        <w:t>wodociągowo – kanalizacyjnych:</w:t>
      </w:r>
    </w:p>
    <w:p w:rsidR="00444AFD" w:rsidRDefault="006A3E13" w:rsidP="00F87203">
      <w:pPr>
        <w:pStyle w:val="Standard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 1) przyłącze wodociągowe należy wykonać z rur PEHD o średnicy od 32 mm do 80 mm </w:t>
      </w:r>
      <w:r w:rsidR="00582C01">
        <w:rPr>
          <w:rFonts w:cs="Times New Roman"/>
        </w:rPr>
        <w:t>o grubości</w:t>
      </w:r>
      <w:r>
        <w:rPr>
          <w:rFonts w:cs="Times New Roman"/>
        </w:rPr>
        <w:t xml:space="preserve"> ścianki odpowiednio 2,4 mm i 3,8 mm,</w:t>
      </w:r>
    </w:p>
    <w:p w:rsidR="00444AFD" w:rsidRDefault="00582C01" w:rsidP="00F87203">
      <w:pPr>
        <w:pStyle w:val="Standard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6A3E13">
        <w:rPr>
          <w:rFonts w:cs="Times New Roman"/>
        </w:rPr>
        <w:t xml:space="preserve">2) w miejscu włączenia do sieci wmontować zawór odcinający (zasuwę), a obudowę </w:t>
      </w:r>
      <w:r>
        <w:rPr>
          <w:rFonts w:cs="Times New Roman"/>
        </w:rPr>
        <w:t>zasuwy wyposażyć</w:t>
      </w:r>
      <w:r w:rsidR="006A3E13">
        <w:rPr>
          <w:rFonts w:cs="Times New Roman"/>
        </w:rPr>
        <w:t xml:space="preserve"> w skrzynkę uliczną i obrukować,</w:t>
      </w:r>
    </w:p>
    <w:p w:rsidR="00444AFD" w:rsidRDefault="006A3E13" w:rsidP="00F87203">
      <w:pPr>
        <w:pStyle w:val="Standard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 3) uwzględnić strefę przemarzania gruntu, przebieg zagłębienia przewodów w gruncie należy przeprowadzić najkrótszą, bezkolizyjną trasą,</w:t>
      </w:r>
    </w:p>
    <w:p w:rsidR="00444AFD" w:rsidRDefault="00582C01" w:rsidP="00F87203">
      <w:pPr>
        <w:pStyle w:val="Standard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6A3E13">
        <w:rPr>
          <w:rFonts w:cs="Times New Roman"/>
        </w:rPr>
        <w:t>4) przyłącza kanalizacyjne należy wykonać z rur PCV o minimalnej średnicy 160 mm o grubości ścianki 4,7 mm,</w:t>
      </w:r>
    </w:p>
    <w:p w:rsidR="00444AFD" w:rsidRDefault="00582C01" w:rsidP="00F87203">
      <w:pPr>
        <w:pStyle w:val="Standard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6A3E13">
        <w:rPr>
          <w:rFonts w:cs="Times New Roman"/>
        </w:rPr>
        <w:t xml:space="preserve"> 5) przy urządzeniach zlokalizowanych poniżej poziomu sieci kanalizacyjnej należy przewidzieć pośredni sposób odprowadzania ścieków za pomocą urządzeń typu mini przepompownie i rozdrabniarki.</w:t>
      </w:r>
    </w:p>
    <w:p w:rsidR="00444AFD" w:rsidRDefault="006A3E13" w:rsidP="00F87203">
      <w:pPr>
        <w:pStyle w:val="Standard"/>
        <w:jc w:val="both"/>
      </w:pPr>
      <w:r>
        <w:rPr>
          <w:rFonts w:cs="Times New Roman"/>
          <w:bCs/>
        </w:rPr>
        <w:t xml:space="preserve">2. </w:t>
      </w:r>
      <w:r>
        <w:rPr>
          <w:rFonts w:cs="Times New Roman"/>
        </w:rPr>
        <w:t>Przy projektowaniu przyłącza uwzględnić:</w:t>
      </w:r>
    </w:p>
    <w:p w:rsidR="00444AFD" w:rsidRDefault="00582C01" w:rsidP="00F87203">
      <w:pPr>
        <w:pStyle w:val="Standard"/>
        <w:ind w:left="709" w:hanging="709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="006A3E13">
        <w:rPr>
          <w:rFonts w:cs="Times New Roman"/>
        </w:rPr>
        <w:t xml:space="preserve">1) </w:t>
      </w:r>
      <w:r>
        <w:rPr>
          <w:rFonts w:cs="Times New Roman"/>
        </w:rPr>
        <w:t xml:space="preserve"> </w:t>
      </w:r>
      <w:r w:rsidR="006A3E13">
        <w:rPr>
          <w:rFonts w:cs="Times New Roman"/>
        </w:rPr>
        <w:t>prowadzenie przyłącza najkrótszą trasą,</w:t>
      </w:r>
    </w:p>
    <w:p w:rsidR="00444AFD" w:rsidRDefault="00582C01" w:rsidP="00F87203">
      <w:pPr>
        <w:pStyle w:val="Standard"/>
        <w:ind w:left="426" w:hanging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6A3E13">
        <w:rPr>
          <w:rFonts w:cs="Times New Roman"/>
        </w:rPr>
        <w:t xml:space="preserve"> </w:t>
      </w:r>
      <w:r>
        <w:rPr>
          <w:rFonts w:cs="Times New Roman"/>
        </w:rPr>
        <w:t xml:space="preserve">     </w:t>
      </w:r>
      <w:r w:rsidR="006A3E13">
        <w:rPr>
          <w:rFonts w:cs="Times New Roman"/>
        </w:rPr>
        <w:t>2) posadowienie przyłącza na głębokości zabezpieczającej przed przemarzaniem lub zastosowanie odpowiedniego zabezpieczenia przed przemarzaniem z uwzględnieniem spadku w kierunku spływu min. 15%,</w:t>
      </w:r>
    </w:p>
    <w:p w:rsidR="00444AFD" w:rsidRDefault="00582C01" w:rsidP="00F87203">
      <w:pPr>
        <w:pStyle w:val="Standard"/>
        <w:ind w:left="709" w:hanging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6A3E13">
        <w:rPr>
          <w:rFonts w:cs="Times New Roman"/>
        </w:rPr>
        <w:t xml:space="preserve"> 3) </w:t>
      </w:r>
      <w:r>
        <w:rPr>
          <w:rFonts w:cs="Times New Roman"/>
        </w:rPr>
        <w:t xml:space="preserve"> </w:t>
      </w:r>
      <w:r w:rsidR="006A3E13">
        <w:rPr>
          <w:rFonts w:cs="Times New Roman"/>
        </w:rPr>
        <w:t>dojazdu i dostępu do studni rewizyjnej.</w:t>
      </w:r>
    </w:p>
    <w:p w:rsidR="00444AFD" w:rsidRDefault="006A3E13" w:rsidP="00F87203">
      <w:pPr>
        <w:pStyle w:val="Standard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  4) odbiorca usług zobowiązany jest na trasie przyłącza pozostawić niezagospodarowany i niezadrzewiony pas terenu o szerokości 3 m (1,5 m po obu stronach osi rurociągu)</w:t>
      </w:r>
    </w:p>
    <w:p w:rsidR="00444AFD" w:rsidRDefault="00582C01" w:rsidP="00F87203">
      <w:pPr>
        <w:pStyle w:val="Standard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6A3E13">
        <w:rPr>
          <w:rFonts w:cs="Times New Roman"/>
        </w:rPr>
        <w:t xml:space="preserve"> 5) Warunki przyłączenia do sieci wydane przez przedsiębiorstwo wodociągowo - kanalizacyjne są ważne przez 2 lata od dnia ich wydania. (art. 19a ust. 7 ustawy).</w:t>
      </w:r>
    </w:p>
    <w:p w:rsidR="00444AFD" w:rsidRDefault="00444AFD">
      <w:pPr>
        <w:pStyle w:val="Standard"/>
        <w:spacing w:line="360" w:lineRule="auto"/>
        <w:jc w:val="center"/>
        <w:rPr>
          <w:rFonts w:ascii="Tahoma" w:hAnsi="Tahoma"/>
          <w:b/>
          <w:bCs/>
          <w:u w:val="single"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lastRenderedPageBreak/>
        <w:t>ROZDZIAŁ VII</w:t>
      </w:r>
    </w:p>
    <w:p w:rsidR="00444AFD" w:rsidRDefault="006A3E1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SPOSÓB DOKONYWANIA ODBIORU PRZEZ PRZEDSIĘBIORSTWO WODOCIĄGOWO – KANALIZACYJNE WYKONANEGO PRZYŁĄCZA</w:t>
      </w:r>
    </w:p>
    <w:p w:rsidR="00444AFD" w:rsidRDefault="00444AFD">
      <w:pPr>
        <w:pStyle w:val="Standard"/>
        <w:jc w:val="both"/>
        <w:rPr>
          <w:rFonts w:cs="Times New Roman"/>
          <w:b/>
          <w:bCs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12.</w:t>
      </w:r>
    </w:p>
    <w:p w:rsidR="00444AFD" w:rsidRDefault="006A3E13" w:rsidP="00F87203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 ramach prac związanych z odbiorem przyłącza, przedsiębiorstwo wodociągowo– kanalizacyjne dokonuje sprawdzenia zgodności wykonanych prac z wydanymi warunkami przyłączenia do sieci.</w:t>
      </w:r>
    </w:p>
    <w:p w:rsidR="00444AFD" w:rsidRDefault="006A3E13" w:rsidP="00F87203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Odbioru przyłącza dokonuje się przed zasypaniem przyłącza. Odbiór prac ulegających częściowemu zakryciu (zasypaniu) podmiot przyłączany jest zobowiązany zgłaszać przedsiębiorstwu wodociągowo- kanalizacyjnemu przed zakryciem (zasypaniem).</w:t>
      </w:r>
    </w:p>
    <w:p w:rsidR="00444AFD" w:rsidRDefault="006A3E13" w:rsidP="00F87203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Odbiór częściowy oraz końcowy przyłączy jest przeprowadzany przy udziale upoważnionych przedstawicieli stron.</w:t>
      </w:r>
    </w:p>
    <w:p w:rsidR="00444AFD" w:rsidRDefault="006A3E13" w:rsidP="00F87203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Wynik odbioru jest potwierdzany przez strony wpisem w karcie przebiegu robót.</w:t>
      </w:r>
    </w:p>
    <w:p w:rsidR="00444AFD" w:rsidRDefault="006A3E13" w:rsidP="00F87203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Odbiór końcowy następuje na pisemny wniosek inwestora (wykonawcy).</w:t>
      </w:r>
    </w:p>
    <w:p w:rsidR="00444AFD" w:rsidRDefault="006A3E13" w:rsidP="00F87203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Odbiór końcowy dokonywany jest na podstawie końcowego protokołu odbioru technicznego według zasad określonych w warunkach przyłączenia względnie umowie o przyłączenie.</w:t>
      </w:r>
    </w:p>
    <w:p w:rsidR="00444AFD" w:rsidRDefault="006A3E13" w:rsidP="00F87203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Protokół odbioru technicznego przyłącza powinien zawierać, co najmniej:</w:t>
      </w:r>
      <w:r>
        <w:rPr>
          <w:rFonts w:cs="Times New Roman"/>
        </w:rPr>
        <w:tab/>
      </w:r>
    </w:p>
    <w:p w:rsidR="00444AFD" w:rsidRDefault="006A3E13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1) datę odbioru,</w:t>
      </w:r>
    </w:p>
    <w:p w:rsidR="00444AFD" w:rsidRDefault="00F87203" w:rsidP="00F87203">
      <w:pPr>
        <w:pStyle w:val="Standard"/>
        <w:ind w:left="851" w:hanging="851"/>
        <w:jc w:val="both"/>
        <w:rPr>
          <w:rFonts w:cs="Times New Roman"/>
        </w:rPr>
      </w:pPr>
      <w:r>
        <w:rPr>
          <w:rFonts w:cs="Times New Roman"/>
        </w:rPr>
        <w:t xml:space="preserve">           2) </w:t>
      </w:r>
      <w:r w:rsidR="006A3E13">
        <w:rPr>
          <w:rFonts w:cs="Times New Roman"/>
        </w:rPr>
        <w:t>przedmiot odbioru z wyszczególnieniem przeznaczenia przyłącza (rodzaju: wodociągowe, kanalizacyjne), średnicy, materiałów rodzaju odprowadzanych ścieków dla przyłącza kanalizacyjnego,</w:t>
      </w:r>
    </w:p>
    <w:p w:rsidR="00444AFD" w:rsidRDefault="006A3E13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3) skład komisji, w tym: wykonawcę i użytkownika,</w:t>
      </w:r>
    </w:p>
    <w:p w:rsidR="00444AFD" w:rsidRDefault="006A3E13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4) adres nieruchomości, do której wykonano podłączenie,</w:t>
      </w:r>
    </w:p>
    <w:p w:rsidR="00444AFD" w:rsidRDefault="006A3E13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5) podpisy członków komisji.</w:t>
      </w:r>
    </w:p>
    <w:p w:rsidR="00444AFD" w:rsidRDefault="006A3E13" w:rsidP="00F87203">
      <w:pPr>
        <w:pStyle w:val="Standard"/>
        <w:ind w:left="284" w:hanging="284"/>
        <w:jc w:val="both"/>
        <w:rPr>
          <w:rFonts w:cs="Times New Roman"/>
        </w:rPr>
      </w:pPr>
      <w:r>
        <w:rPr>
          <w:rFonts w:cs="Times New Roman"/>
        </w:rPr>
        <w:t>8. Protokół końcowy stanowi potwierdzenie prawidłowości wykonania podłączenia i jego podpisanie przez strony upoważnia odbiorcę do złożenia pisemnego wniosku o zawarcie umowy.</w:t>
      </w:r>
    </w:p>
    <w:p w:rsidR="00444AFD" w:rsidRDefault="00444AFD">
      <w:pPr>
        <w:pStyle w:val="Standard"/>
        <w:spacing w:line="360" w:lineRule="auto"/>
        <w:jc w:val="center"/>
        <w:rPr>
          <w:rFonts w:ascii="Tahoma" w:hAnsi="Tahoma"/>
          <w:b/>
          <w:u w:val="single"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ROZDZIAŁ VIII</w:t>
      </w:r>
    </w:p>
    <w:p w:rsidR="00444AFD" w:rsidRDefault="006A3E1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SPOSÓB POSTĘPOWANIA W PRZYPADKU NIEDOTRZYMANIA CIĄGŁOŚCI USŁUG I ODPOWIEDNICH PARAMETRÓW DOSTARCZANEJ WODY I WPROWADZANYCH DO SIECI KANALIZACYJNEJ ŚCIEKÓW</w:t>
      </w:r>
    </w:p>
    <w:p w:rsidR="00444AFD" w:rsidRDefault="00444AFD">
      <w:pPr>
        <w:pStyle w:val="Standard"/>
        <w:jc w:val="center"/>
        <w:rPr>
          <w:rFonts w:ascii="Tahoma" w:hAnsi="Tahoma"/>
          <w:b/>
          <w:bCs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13.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1.</w:t>
      </w:r>
      <w:r>
        <w:rPr>
          <w:rFonts w:cs="Times New Roman"/>
        </w:rPr>
        <w:t xml:space="preserve"> Przedsiębiorstwo wodociągowo – kanalizacyjne ma obowiązek poinformowania odbiorców o planowanych przerwach lub ograniczeniach w dostawie wody w sposób zwyczajowo przyjęty z wyprzedzeniem, co najmniej 5 dniowym.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 xml:space="preserve">2. </w:t>
      </w:r>
      <w:r>
        <w:rPr>
          <w:rFonts w:cs="Times New Roman"/>
        </w:rPr>
        <w:t>Przedsiębiorstwo wodociągowo – kanalizacyjne ma również obowiązek poinformować odbiorców w sposób zwyczajowo przyjęty o zaistniałych nieplanowanych przerwach lub ograniczeniach w dostawie wody o ile przewidywany czas ich trwania przekracza 12 godzin.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 xml:space="preserve">3. </w:t>
      </w:r>
      <w:r>
        <w:rPr>
          <w:rFonts w:cs="Times New Roman"/>
        </w:rPr>
        <w:t>W przypadku budynków wielolokalowych, przedsiębiorstwo wodociągowo – kanalizacyjne może o zdarzeniach wskazanych w ust. 2 poinformować właściciela lub zarządcę budynku nieruchomości oraz osoby korzystające z lokali, z którymi przedsiębiorstwo wodociągowo – kanalizacyjne zawarło umowy o zaopatrzenie w wodę i odprowadzanie ścieków.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lastRenderedPageBreak/>
        <w:t>4.</w:t>
      </w:r>
      <w:r>
        <w:rPr>
          <w:rFonts w:cs="Times New Roman"/>
        </w:rPr>
        <w:t xml:space="preserve"> W razie planowanej lub zaistniałej przerwy w dostawie wody przekraczającej 12 godzin przedsiębiorstwo wodociągowo – kanalizacyjne ma obowiązek zapewnić zastępczy punkt poboru wody i poinformować o tym fakcie odbiorców usług, wskazując lokalizację zastępczego punktu poboru wody.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 xml:space="preserve">5. </w:t>
      </w:r>
      <w:r>
        <w:rPr>
          <w:rFonts w:cs="Times New Roman"/>
        </w:rPr>
        <w:t>W przypadku przerwy trwającej do 12 godzin przedsiębiorstwo wodociągowo – kanalizacyjne jest zobowiązane w miarę swoich możliwości technicznych i organizacyjnych, zapewnić zastępczy punkt pobory wody. O lokalizacji zastępczego punktu poboru wody przedsiębiorstwo wodociągowo – kanalizacyjne poinformuje odbiorców usług.</w:t>
      </w:r>
    </w:p>
    <w:p w:rsidR="00444AFD" w:rsidRDefault="00444AFD">
      <w:pPr>
        <w:pStyle w:val="Standard"/>
        <w:spacing w:line="360" w:lineRule="auto"/>
        <w:jc w:val="center"/>
        <w:rPr>
          <w:rFonts w:ascii="Tahoma" w:hAnsi="Tahoma"/>
          <w:b/>
          <w:u w:val="single"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ROZDZIAŁ IX</w:t>
      </w:r>
    </w:p>
    <w:p w:rsidR="00444AFD" w:rsidRDefault="006A3E13">
      <w:pPr>
        <w:pStyle w:val="Standard"/>
        <w:jc w:val="both"/>
      </w:pPr>
      <w:r>
        <w:rPr>
          <w:rFonts w:cs="Times New Roman"/>
          <w:b/>
          <w:bCs/>
        </w:rPr>
        <w:t>STANDARDY OBSŁUGI ODBIORCÓW USŁUG A W SZCZEGÓLNOŚCI SPOSOBY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ZAŁATWIANIA REKLAMACJI ORAZ WYMIANY INFORMACJI DOTYCZĄCYCH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W SZCZEGÓLNOŚCI ZAKŁÓCEŃ W DOSTAWIE WODY I ODPROWADZANIU ŚCIEKÓW</w:t>
      </w:r>
      <w:r>
        <w:rPr>
          <w:rFonts w:cs="Times New Roman"/>
          <w:b/>
        </w:rPr>
        <w:tab/>
      </w:r>
    </w:p>
    <w:p w:rsidR="00444AFD" w:rsidRDefault="00444AFD">
      <w:pPr>
        <w:pStyle w:val="Standard"/>
        <w:jc w:val="both"/>
      </w:pPr>
    </w:p>
    <w:p w:rsidR="00444AFD" w:rsidRDefault="006A3E13">
      <w:pPr>
        <w:pStyle w:val="Standard"/>
        <w:spacing w:line="360" w:lineRule="auto"/>
        <w:jc w:val="center"/>
      </w:pPr>
      <w:r>
        <w:rPr>
          <w:rFonts w:cs="Times New Roman"/>
          <w:b/>
        </w:rPr>
        <w:t>§ 14.</w:t>
      </w:r>
    </w:p>
    <w:p w:rsidR="00444AFD" w:rsidRDefault="006A3E13" w:rsidP="00F87203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Przedsiębiorstwo wodociągowo – kanalizacyjne jest zobowiązane do udzielania odbiorcom usług wszelkich istotnych informacji w szczególności dotyczących:</w:t>
      </w:r>
    </w:p>
    <w:p w:rsidR="00444AFD" w:rsidRDefault="006A3E13" w:rsidP="00F87203">
      <w:pPr>
        <w:pStyle w:val="Standard"/>
        <w:ind w:left="284" w:hanging="851"/>
        <w:jc w:val="both"/>
        <w:rPr>
          <w:rFonts w:cs="Times New Roman"/>
        </w:rPr>
      </w:pPr>
      <w:r>
        <w:rPr>
          <w:rFonts w:cs="Times New Roman"/>
        </w:rPr>
        <w:t xml:space="preserve">           1) prawidłowego sposobu wykonywania przez odbiorcę usług umowy o zaopatrzenie w wodę lub odprowadzanie ścieków,</w:t>
      </w:r>
    </w:p>
    <w:p w:rsidR="00444AFD" w:rsidRDefault="006A3E13" w:rsidP="00F87203">
      <w:pPr>
        <w:pStyle w:val="Standard"/>
        <w:ind w:left="284" w:hanging="851"/>
        <w:jc w:val="both"/>
        <w:rPr>
          <w:rFonts w:cs="Times New Roman"/>
        </w:rPr>
      </w:pPr>
      <w:r>
        <w:rPr>
          <w:rFonts w:cs="Times New Roman"/>
        </w:rPr>
        <w:t xml:space="preserve">           2) występujących zakłóceń w dostawach wody lub w odprowadzaniu ścieków, w tym o planowanych przerwach w świadczeniu usług,</w:t>
      </w:r>
    </w:p>
    <w:p w:rsidR="00444AFD" w:rsidRDefault="00582C01" w:rsidP="00F87203">
      <w:pPr>
        <w:pStyle w:val="Standard"/>
        <w:ind w:left="284" w:hanging="851"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="006A3E13">
        <w:rPr>
          <w:rFonts w:cs="Times New Roman"/>
        </w:rPr>
        <w:t>3) występujących awariach urządzeń wodociągowych i urządzeń kanalizacyjnych.</w:t>
      </w:r>
    </w:p>
    <w:p w:rsidR="00444AFD" w:rsidRDefault="006A3E13">
      <w:pPr>
        <w:pStyle w:val="Standard"/>
        <w:spacing w:line="360" w:lineRule="auto"/>
        <w:jc w:val="center"/>
      </w:pPr>
      <w:r>
        <w:rPr>
          <w:rFonts w:cs="Times New Roman"/>
          <w:b/>
          <w:bCs/>
        </w:rPr>
        <w:t>§ 15.</w:t>
      </w:r>
    </w:p>
    <w:p w:rsidR="00444AFD" w:rsidRDefault="006A3E13" w:rsidP="00F87203">
      <w:pPr>
        <w:pStyle w:val="Standard"/>
        <w:numPr>
          <w:ilvl w:val="0"/>
          <w:numId w:val="7"/>
        </w:numPr>
        <w:ind w:left="142" w:hanging="284"/>
        <w:jc w:val="both"/>
        <w:rPr>
          <w:rFonts w:cs="Times New Roman"/>
        </w:rPr>
      </w:pPr>
      <w:r>
        <w:rPr>
          <w:rFonts w:cs="Times New Roman"/>
        </w:rPr>
        <w:t>Każdy odbiorca usług ma prawo zgłaszania reklamacji dotyczących sposobu wykonywania przez przedsiębiorstwo wodociągowo– kanalizacyjne umowy, w szczególności ilości i jakości świadczonych usług oraz wysokości naliczonych opłat za te usługi.</w:t>
      </w:r>
    </w:p>
    <w:p w:rsidR="00444AFD" w:rsidRDefault="006A3E13" w:rsidP="00F87203">
      <w:pPr>
        <w:pStyle w:val="Standard"/>
        <w:numPr>
          <w:ilvl w:val="0"/>
          <w:numId w:val="7"/>
        </w:numPr>
        <w:tabs>
          <w:tab w:val="left" w:pos="-142"/>
        </w:tabs>
        <w:ind w:left="142" w:hanging="284"/>
        <w:jc w:val="both"/>
        <w:rPr>
          <w:rFonts w:cs="Times New Roman"/>
        </w:rPr>
      </w:pPr>
      <w:r>
        <w:rPr>
          <w:rFonts w:cs="Times New Roman"/>
        </w:rPr>
        <w:t>Reklamacja może być składana w dowolnej formie (ustnie, telefonicznie, via email, pisemnie itp.), po powzięciu informacji o wystąpieniu zdarzenia stanowiącego podstawę jej złożenia.</w:t>
      </w:r>
    </w:p>
    <w:p w:rsidR="00444AFD" w:rsidRDefault="006A3E13" w:rsidP="00F87203">
      <w:pPr>
        <w:pStyle w:val="Standard"/>
        <w:numPr>
          <w:ilvl w:val="0"/>
          <w:numId w:val="7"/>
        </w:numPr>
        <w:ind w:left="142" w:hanging="284"/>
        <w:jc w:val="both"/>
        <w:rPr>
          <w:rFonts w:cs="Times New Roman"/>
        </w:rPr>
      </w:pPr>
      <w:r>
        <w:rPr>
          <w:rFonts w:cs="Times New Roman"/>
        </w:rPr>
        <w:t>Przedsiębiorstwo wodociągowo – kanalizacyjne jest zobowiązane rozpatrzyć reklamację bez zbędnej zwłoki, w terminie nie dłuższym niż 14 dni od daty złożenia reklamacji w siedzibie przedsiębiorstwa wodociągowo – kanalizacyjnego lub jej doręczenia przedsiębiorstwu wodociągowo – kanalizacyjnemu w inny sposób.</w:t>
      </w:r>
    </w:p>
    <w:p w:rsidR="00444AFD" w:rsidRDefault="00444AFD">
      <w:pPr>
        <w:pStyle w:val="Standard"/>
        <w:spacing w:line="360" w:lineRule="auto"/>
        <w:jc w:val="both"/>
        <w:rPr>
          <w:rFonts w:cs="Times New Roman"/>
        </w:rPr>
      </w:pPr>
    </w:p>
    <w:p w:rsidR="00444AFD" w:rsidRDefault="006A3E13">
      <w:pPr>
        <w:pStyle w:val="Standard"/>
        <w:spacing w:line="360" w:lineRule="auto"/>
        <w:jc w:val="center"/>
      </w:pPr>
      <w:r>
        <w:rPr>
          <w:rFonts w:cs="Times New Roman"/>
          <w:b/>
          <w:bCs/>
        </w:rPr>
        <w:t>§ 16.</w:t>
      </w:r>
    </w:p>
    <w:p w:rsidR="00444AFD" w:rsidRDefault="006A3E13" w:rsidP="00F87203">
      <w:pPr>
        <w:pStyle w:val="Standard"/>
        <w:ind w:left="142" w:hanging="142"/>
        <w:jc w:val="both"/>
      </w:pPr>
      <w:r>
        <w:rPr>
          <w:rFonts w:cs="Times New Roman"/>
          <w:bCs/>
        </w:rPr>
        <w:t>1.</w:t>
      </w:r>
      <w:r>
        <w:rPr>
          <w:rFonts w:cs="Times New Roman"/>
        </w:rPr>
        <w:t>W siedzibie przedsiębiorstwa wodociągowo – kanalizacyjnego winny być udostępnione zainteresowanym:</w:t>
      </w:r>
    </w:p>
    <w:p w:rsidR="00444AFD" w:rsidRDefault="006A3E13" w:rsidP="00F87203">
      <w:pPr>
        <w:pStyle w:val="Standard"/>
        <w:numPr>
          <w:ilvl w:val="1"/>
          <w:numId w:val="3"/>
        </w:numPr>
        <w:tabs>
          <w:tab w:val="left" w:pos="567"/>
        </w:tabs>
        <w:ind w:left="142" w:firstLine="142"/>
        <w:jc w:val="both"/>
        <w:rPr>
          <w:rFonts w:cs="Times New Roman"/>
        </w:rPr>
      </w:pPr>
      <w:r>
        <w:rPr>
          <w:rFonts w:cs="Times New Roman"/>
        </w:rPr>
        <w:t>aktualnie obowiązujące na terenie Gminy Braniewo taryfy,</w:t>
      </w:r>
    </w:p>
    <w:p w:rsidR="00F87203" w:rsidRDefault="006A3E13" w:rsidP="00F87203">
      <w:pPr>
        <w:pStyle w:val="Standard"/>
        <w:numPr>
          <w:ilvl w:val="1"/>
          <w:numId w:val="3"/>
        </w:numPr>
        <w:ind w:left="567" w:hanging="283"/>
        <w:jc w:val="both"/>
        <w:rPr>
          <w:rFonts w:cs="Times New Roman"/>
        </w:rPr>
      </w:pPr>
      <w:r>
        <w:rPr>
          <w:rFonts w:cs="Times New Roman"/>
        </w:rPr>
        <w:t>tekst jednolity "Regulaminu dostarczania wody i odprowadzania ścieków", obowiązujący na terenie Gminy Braniewo,</w:t>
      </w:r>
    </w:p>
    <w:p w:rsidR="00444AFD" w:rsidRPr="00F87203" w:rsidRDefault="006A3E13" w:rsidP="00F87203">
      <w:pPr>
        <w:pStyle w:val="Standard"/>
        <w:numPr>
          <w:ilvl w:val="1"/>
          <w:numId w:val="3"/>
        </w:numPr>
        <w:ind w:left="567" w:hanging="283"/>
        <w:jc w:val="both"/>
        <w:rPr>
          <w:rFonts w:cs="Times New Roman"/>
        </w:rPr>
      </w:pPr>
      <w:r w:rsidRPr="00F87203">
        <w:rPr>
          <w:rFonts w:cs="Times New Roman"/>
        </w:rPr>
        <w:t>wyniki ostatnio przeprowadzonych analiz, jakości wody,</w:t>
      </w:r>
    </w:p>
    <w:p w:rsidR="00444AFD" w:rsidRDefault="006A3E13" w:rsidP="00F87203">
      <w:pPr>
        <w:pStyle w:val="Standard"/>
        <w:tabs>
          <w:tab w:val="left" w:pos="3261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4) aktualny wieloletni plan rozwoju i modernizacji urządzeń wodociągowych i urządzeń kanalizacyjnych z wyłączeniem przypadku, o którym mowa w art. 21 ust. 7 Ustawy.</w:t>
      </w:r>
    </w:p>
    <w:p w:rsidR="00444AFD" w:rsidRDefault="00444AFD">
      <w:pPr>
        <w:pStyle w:val="Standard"/>
        <w:spacing w:line="360" w:lineRule="auto"/>
        <w:ind w:left="284"/>
        <w:jc w:val="center"/>
        <w:rPr>
          <w:rFonts w:ascii="Tahoma" w:hAnsi="Tahoma"/>
          <w:b/>
          <w:u w:val="single"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lastRenderedPageBreak/>
        <w:t>ROZDZIAŁ X</w:t>
      </w:r>
    </w:p>
    <w:p w:rsidR="00444AFD" w:rsidRDefault="006A3E1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WARUNKI DOSTARCZANIA WODY NA CELE PRZECIWPOŻAROWE</w:t>
      </w:r>
    </w:p>
    <w:p w:rsidR="00444AFD" w:rsidRDefault="00444AFD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17.</w:t>
      </w:r>
    </w:p>
    <w:p w:rsidR="00444AFD" w:rsidRDefault="006A3E13" w:rsidP="00F87203">
      <w:pPr>
        <w:pStyle w:val="Standard"/>
        <w:ind w:left="284" w:hanging="284"/>
        <w:jc w:val="both"/>
        <w:rPr>
          <w:rFonts w:cs="Times New Roman"/>
          <w:bCs/>
        </w:rPr>
      </w:pPr>
      <w:r>
        <w:rPr>
          <w:rFonts w:cs="Times New Roman"/>
          <w:bCs/>
        </w:rPr>
        <w:t>1.</w:t>
      </w:r>
      <w:r>
        <w:rPr>
          <w:rFonts w:cs="Times New Roman"/>
          <w:bCs/>
        </w:rPr>
        <w:tab/>
        <w:t>Woda do celów przeciwpożarowych jest dostępna z hydrantów zainstalowanych na sieci wodociągowej.</w:t>
      </w: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18.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1.</w:t>
      </w:r>
      <w:r>
        <w:rPr>
          <w:rFonts w:cs="Times New Roman"/>
          <w:bCs/>
        </w:rPr>
        <w:tab/>
      </w:r>
      <w:r>
        <w:rPr>
          <w:rFonts w:cs="Times New Roman"/>
        </w:rPr>
        <w:t>Pobór wody na cele przeciwpożarowe z sieci będącej w posiadaniu przedsiębiorstwa wodociągowo – kanalizacyjnego dokonywany jest w miejscach uzgodnionych z przedsiębiorstwa wodociągowo – kanalizacyjnego, a przede wszystkim z opomiarowanych hydrantów przeciwpożarowych znajdujących się na terenie posesji Straży Pożarnej w miejscowości Lipowina, Żelazna Góra i Gronowo.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 xml:space="preserve">2. </w:t>
      </w:r>
      <w:r>
        <w:rPr>
          <w:rFonts w:cs="Times New Roman"/>
        </w:rPr>
        <w:t xml:space="preserve">W przypadku poboru wody na cele przeciwpożarowe z urządzeń wodociągowych, którymi woda dostarczana jest dla innych odbiorców, pobierający niezwłocznie przekazuje </w:t>
      </w:r>
      <w:r>
        <w:t>przedsiębiorstwu</w:t>
      </w:r>
      <w:r>
        <w:rPr>
          <w:rFonts w:cs="Times New Roman"/>
        </w:rPr>
        <w:t xml:space="preserve"> wodociągowo – kanalizacyjnego informacje o ilości pobranej wody.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3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ab/>
      </w:r>
      <w:r>
        <w:rPr>
          <w:rFonts w:cs="Times New Roman"/>
        </w:rPr>
        <w:t>Ilość wody pobranej na cele przeciwpożarowe wraz z określeniem nieopomiarowanych punktów jej poboru jest ustalana na podstawie pisemnych informacji składanych przez jednostkę Straży Pożarnej.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19.</w:t>
      </w:r>
    </w:p>
    <w:p w:rsidR="00444AFD" w:rsidRPr="00F87203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1.</w:t>
      </w:r>
      <w:r>
        <w:rPr>
          <w:rFonts w:cs="Times New Roman"/>
        </w:rPr>
        <w:t xml:space="preserve"> Uprawnieni do poboru wody na cele przeciwpożarowe z sieci będącej w posiadaniu</w:t>
      </w:r>
      <w:r w:rsidR="00F87203">
        <w:t xml:space="preserve"> </w:t>
      </w:r>
      <w:r>
        <w:rPr>
          <w:rFonts w:cs="Times New Roman"/>
        </w:rPr>
        <w:t>przedsiębiorstwa wodociągowo – kanalizacyjnego zobowiązani są do powiadomienia przedsiębiorstwa wodociągowo – kanalizacyjnego o miejscu pożaru niezwłocznie po otrzymaniu zgłoszenia, nie później niż dzień po zdarzeniu.</w:t>
      </w:r>
    </w:p>
    <w:p w:rsidR="00444AFD" w:rsidRDefault="00444AFD">
      <w:pPr>
        <w:pStyle w:val="Standard"/>
        <w:jc w:val="center"/>
        <w:rPr>
          <w:rFonts w:cs="Times New Roman"/>
          <w:bCs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20.</w:t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1.</w:t>
      </w:r>
      <w:r>
        <w:rPr>
          <w:rFonts w:cs="Times New Roman"/>
          <w:bCs/>
        </w:rPr>
        <w:tab/>
      </w:r>
      <w:r>
        <w:rPr>
          <w:rFonts w:cs="Times New Roman"/>
        </w:rPr>
        <w:t>Przedsiębiorstwo wodociągowo – kanalizacyjnego obciąża Gminę za wodę pobraną na cele przeciwpożarowe stosując ceny ustalone w taryfie.</w:t>
      </w:r>
      <w:r>
        <w:rPr>
          <w:rFonts w:cs="Times New Roman"/>
        </w:rPr>
        <w:tab/>
      </w:r>
    </w:p>
    <w:p w:rsidR="00444AFD" w:rsidRDefault="006A3E13" w:rsidP="00F87203">
      <w:pPr>
        <w:pStyle w:val="Standard"/>
        <w:ind w:left="284" w:hanging="284"/>
        <w:jc w:val="both"/>
      </w:pPr>
      <w:r>
        <w:rPr>
          <w:rFonts w:cs="Times New Roman"/>
          <w:bCs/>
        </w:rPr>
        <w:t>2.</w:t>
      </w:r>
      <w:r>
        <w:rPr>
          <w:rFonts w:cs="Times New Roman"/>
          <w:bCs/>
        </w:rPr>
        <w:tab/>
      </w:r>
      <w:r>
        <w:rPr>
          <w:rFonts w:cs="Times New Roman"/>
        </w:rPr>
        <w:t>Rozliczanie za wodę pobraną na cele przeciwpożarowe dokonywane są za okres kwartalny na podstawie deklaracji Straży Pożarnej.</w:t>
      </w:r>
    </w:p>
    <w:p w:rsidR="00444AFD" w:rsidRDefault="00444AFD">
      <w:pPr>
        <w:pStyle w:val="Standard"/>
        <w:spacing w:line="360" w:lineRule="auto"/>
        <w:ind w:left="705"/>
        <w:jc w:val="center"/>
        <w:rPr>
          <w:rFonts w:ascii="Tahoma" w:hAnsi="Tahoma"/>
          <w:b/>
          <w:u w:val="single"/>
        </w:rPr>
      </w:pP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ROZDZIAŁ XI</w:t>
      </w:r>
    </w:p>
    <w:p w:rsidR="00444AFD" w:rsidRDefault="006A3E13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PRZEPISY KOŃCOWE</w:t>
      </w:r>
    </w:p>
    <w:p w:rsidR="00444AFD" w:rsidRDefault="00444AFD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:rsidR="00444AFD" w:rsidRDefault="006A3E13">
      <w:pPr>
        <w:pStyle w:val="Standard"/>
        <w:spacing w:line="360" w:lineRule="auto"/>
        <w:jc w:val="center"/>
      </w:pPr>
      <w:r>
        <w:rPr>
          <w:rFonts w:cs="Times New Roman"/>
          <w:b/>
          <w:bCs/>
        </w:rPr>
        <w:t xml:space="preserve"> § 21.</w:t>
      </w:r>
    </w:p>
    <w:p w:rsidR="00444AFD" w:rsidRDefault="006A3E13" w:rsidP="00F872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 sprawach nieobjętych niniejszym Regulaminem obowiązują przepisy ustawy, wraz z przepisami wykonawczymi wydanymi na jej podstawie.</w:t>
      </w:r>
    </w:p>
    <w:p w:rsidR="00444AFD" w:rsidRDefault="00444AFD">
      <w:pPr>
        <w:pStyle w:val="Standard"/>
        <w:spacing w:line="360" w:lineRule="auto"/>
        <w:jc w:val="right"/>
        <w:rPr>
          <w:rFonts w:ascii="Tahoma" w:hAnsi="Tahoma"/>
        </w:rPr>
      </w:pPr>
    </w:p>
    <w:p w:rsidR="00444AFD" w:rsidRDefault="00444AFD">
      <w:pPr>
        <w:pStyle w:val="Standard"/>
        <w:spacing w:line="360" w:lineRule="auto"/>
        <w:jc w:val="right"/>
        <w:rPr>
          <w:rFonts w:ascii="Tahoma" w:hAnsi="Tahoma"/>
        </w:rPr>
      </w:pPr>
    </w:p>
    <w:p w:rsidR="00444AFD" w:rsidRDefault="00444AFD">
      <w:pPr>
        <w:pStyle w:val="Standard"/>
        <w:spacing w:line="360" w:lineRule="auto"/>
        <w:jc w:val="right"/>
        <w:rPr>
          <w:rFonts w:ascii="Tahoma" w:hAnsi="Tahoma"/>
        </w:rPr>
      </w:pPr>
    </w:p>
    <w:p w:rsidR="00444AFD" w:rsidRDefault="00444AFD">
      <w:pPr>
        <w:pStyle w:val="Standard"/>
        <w:spacing w:line="360" w:lineRule="auto"/>
        <w:jc w:val="right"/>
        <w:rPr>
          <w:rFonts w:ascii="Tahoma" w:hAnsi="Tahoma"/>
        </w:rPr>
      </w:pPr>
    </w:p>
    <w:p w:rsidR="00444AFD" w:rsidRDefault="00444AFD">
      <w:pPr>
        <w:pStyle w:val="Standard"/>
        <w:spacing w:line="360" w:lineRule="auto"/>
        <w:jc w:val="both"/>
        <w:rPr>
          <w:rFonts w:ascii="Tahoma" w:hAnsi="Tahoma"/>
          <w:b/>
          <w:bCs/>
        </w:rPr>
      </w:pPr>
    </w:p>
    <w:sectPr w:rsidR="00444AFD">
      <w:headerReference w:type="default" r:id="rId7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C3E" w:rsidRDefault="00C01C3E">
      <w:r>
        <w:separator/>
      </w:r>
    </w:p>
  </w:endnote>
  <w:endnote w:type="continuationSeparator" w:id="0">
    <w:p w:rsidR="00C01C3E" w:rsidRDefault="00C0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charset w:val="00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C3E" w:rsidRDefault="00C01C3E">
      <w:r>
        <w:rPr>
          <w:color w:val="000000"/>
        </w:rPr>
        <w:separator/>
      </w:r>
    </w:p>
  </w:footnote>
  <w:footnote w:type="continuationSeparator" w:id="0">
    <w:p w:rsidR="00C01C3E" w:rsidRDefault="00C01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203" w:rsidRPr="00EE38AD" w:rsidRDefault="00F87203" w:rsidP="00EE38AD">
    <w:pPr>
      <w:widowControl/>
      <w:tabs>
        <w:tab w:val="center" w:pos="4536"/>
        <w:tab w:val="right" w:pos="9072"/>
      </w:tabs>
      <w:suppressAutoHyphens w:val="0"/>
      <w:autoSpaceDN/>
      <w:textAlignment w:val="auto"/>
      <w:rPr>
        <w:rFonts w:eastAsia="Times New Roman" w:cs="Times New Roman"/>
        <w:b/>
        <w:color w:val="FF0000"/>
        <w:kern w:val="0"/>
        <w:lang w:eastAsia="pl-PL" w:bidi="ar-SA"/>
      </w:rPr>
    </w:pPr>
    <w:r w:rsidRPr="00EE38AD">
      <w:rPr>
        <w:rFonts w:eastAsia="Times New Roman" w:cs="Times New Roman"/>
        <w:b/>
        <w:color w:val="FF0000"/>
        <w:kern w:val="0"/>
        <w:lang w:eastAsia="pl-PL" w:bidi="ar-SA"/>
      </w:rPr>
      <w:t>RADA GMINY</w:t>
    </w:r>
  </w:p>
  <w:p w:rsidR="00F87203" w:rsidRPr="00EE38AD" w:rsidRDefault="00F87203" w:rsidP="00EE38AD">
    <w:pPr>
      <w:widowControl/>
      <w:tabs>
        <w:tab w:val="center" w:pos="4536"/>
        <w:tab w:val="right" w:pos="9072"/>
      </w:tabs>
      <w:suppressAutoHyphens w:val="0"/>
      <w:autoSpaceDN/>
      <w:textAlignment w:val="auto"/>
      <w:rPr>
        <w:rFonts w:eastAsia="Times New Roman" w:cs="Times New Roman"/>
        <w:b/>
        <w:color w:val="FF0000"/>
        <w:kern w:val="0"/>
        <w:lang w:eastAsia="pl-PL" w:bidi="ar-SA"/>
      </w:rPr>
    </w:pPr>
    <w:r w:rsidRPr="00EE38AD">
      <w:rPr>
        <w:rFonts w:eastAsia="Times New Roman" w:cs="Times New Roman"/>
        <w:b/>
        <w:color w:val="FF0000"/>
        <w:kern w:val="0"/>
        <w:lang w:eastAsia="pl-PL" w:bidi="ar-SA"/>
      </w:rPr>
      <w:t xml:space="preserve"> BRANIEWO</w:t>
    </w:r>
  </w:p>
  <w:p w:rsidR="00F87203" w:rsidRDefault="00F872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30B07"/>
    <w:multiLevelType w:val="multilevel"/>
    <w:tmpl w:val="61A6B6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F3C"/>
    <w:multiLevelType w:val="multilevel"/>
    <w:tmpl w:val="7BAACCA8"/>
    <w:lvl w:ilvl="0">
      <w:start w:val="1"/>
      <w:numFmt w:val="decimal"/>
      <w:lvlText w:val="%1."/>
      <w:lvlJc w:val="left"/>
      <w:pPr>
        <w:ind w:left="18577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8577" w:hanging="360"/>
      </w:pPr>
    </w:lvl>
    <w:lvl w:ilvl="2">
      <w:start w:val="1"/>
      <w:numFmt w:val="decimal"/>
      <w:lvlText w:val="%3."/>
      <w:lvlJc w:val="left"/>
      <w:pPr>
        <w:ind w:left="18577" w:hanging="360"/>
      </w:pPr>
    </w:lvl>
    <w:lvl w:ilvl="3">
      <w:start w:val="1"/>
      <w:numFmt w:val="decimal"/>
      <w:lvlText w:val="%4."/>
      <w:lvlJc w:val="left"/>
      <w:pPr>
        <w:ind w:left="18577" w:hanging="360"/>
      </w:pPr>
    </w:lvl>
    <w:lvl w:ilvl="4">
      <w:start w:val="1"/>
      <w:numFmt w:val="decimal"/>
      <w:lvlText w:val="%5."/>
      <w:lvlJc w:val="left"/>
      <w:pPr>
        <w:ind w:left="18577" w:hanging="360"/>
      </w:pPr>
    </w:lvl>
    <w:lvl w:ilvl="5">
      <w:start w:val="1"/>
      <w:numFmt w:val="decimal"/>
      <w:lvlText w:val="%6."/>
      <w:lvlJc w:val="left"/>
      <w:pPr>
        <w:ind w:left="18577" w:hanging="360"/>
      </w:pPr>
    </w:lvl>
    <w:lvl w:ilvl="6">
      <w:start w:val="1"/>
      <w:numFmt w:val="decimal"/>
      <w:lvlText w:val="%7."/>
      <w:lvlJc w:val="left"/>
      <w:pPr>
        <w:ind w:left="18577" w:hanging="360"/>
      </w:pPr>
    </w:lvl>
    <w:lvl w:ilvl="7">
      <w:start w:val="1"/>
      <w:numFmt w:val="decimal"/>
      <w:lvlText w:val="%8."/>
      <w:lvlJc w:val="left"/>
      <w:pPr>
        <w:ind w:left="18577" w:hanging="360"/>
      </w:pPr>
    </w:lvl>
    <w:lvl w:ilvl="8">
      <w:start w:val="1"/>
      <w:numFmt w:val="decimal"/>
      <w:lvlText w:val="%9."/>
      <w:lvlJc w:val="left"/>
      <w:pPr>
        <w:ind w:left="18577" w:hanging="360"/>
      </w:pPr>
    </w:lvl>
  </w:abstractNum>
  <w:abstractNum w:abstractNumId="2" w15:restartNumberingAfterBreak="0">
    <w:nsid w:val="18146FF3"/>
    <w:multiLevelType w:val="hybridMultilevel"/>
    <w:tmpl w:val="733AF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44DE"/>
    <w:multiLevelType w:val="multilevel"/>
    <w:tmpl w:val="6638D66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F3408B2"/>
    <w:multiLevelType w:val="multilevel"/>
    <w:tmpl w:val="8BFCDC18"/>
    <w:lvl w:ilvl="0">
      <w:start w:val="1"/>
      <w:numFmt w:val="decimal"/>
      <w:lvlText w:val="%1."/>
      <w:lvlJc w:val="left"/>
      <w:pPr>
        <w:ind w:left="5662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022" w:hanging="360"/>
      </w:pPr>
    </w:lvl>
    <w:lvl w:ilvl="2">
      <w:start w:val="1"/>
      <w:numFmt w:val="decimal"/>
      <w:lvlText w:val="%3."/>
      <w:lvlJc w:val="left"/>
      <w:pPr>
        <w:ind w:left="6382" w:hanging="360"/>
      </w:pPr>
    </w:lvl>
    <w:lvl w:ilvl="3">
      <w:start w:val="1"/>
      <w:numFmt w:val="decimal"/>
      <w:lvlText w:val="%4."/>
      <w:lvlJc w:val="left"/>
      <w:pPr>
        <w:ind w:left="6742" w:hanging="360"/>
      </w:pPr>
    </w:lvl>
    <w:lvl w:ilvl="4">
      <w:start w:val="1"/>
      <w:numFmt w:val="decimal"/>
      <w:lvlText w:val="%5."/>
      <w:lvlJc w:val="left"/>
      <w:pPr>
        <w:ind w:left="7102" w:hanging="360"/>
      </w:pPr>
    </w:lvl>
    <w:lvl w:ilvl="5">
      <w:start w:val="1"/>
      <w:numFmt w:val="decimal"/>
      <w:lvlText w:val="%6."/>
      <w:lvlJc w:val="left"/>
      <w:pPr>
        <w:ind w:left="7462" w:hanging="360"/>
      </w:pPr>
    </w:lvl>
    <w:lvl w:ilvl="6">
      <w:start w:val="1"/>
      <w:numFmt w:val="decimal"/>
      <w:lvlText w:val="%7."/>
      <w:lvlJc w:val="left"/>
      <w:pPr>
        <w:ind w:left="7822" w:hanging="360"/>
      </w:pPr>
    </w:lvl>
    <w:lvl w:ilvl="7">
      <w:start w:val="1"/>
      <w:numFmt w:val="decimal"/>
      <w:lvlText w:val="%8."/>
      <w:lvlJc w:val="left"/>
      <w:pPr>
        <w:ind w:left="8182" w:hanging="360"/>
      </w:pPr>
    </w:lvl>
    <w:lvl w:ilvl="8">
      <w:start w:val="1"/>
      <w:numFmt w:val="decimal"/>
      <w:lvlText w:val="%9."/>
      <w:lvlJc w:val="left"/>
      <w:pPr>
        <w:ind w:left="8542" w:hanging="360"/>
      </w:pPr>
    </w:lvl>
  </w:abstractNum>
  <w:abstractNum w:abstractNumId="5" w15:restartNumberingAfterBreak="0">
    <w:nsid w:val="2F89563C"/>
    <w:multiLevelType w:val="multilevel"/>
    <w:tmpl w:val="EA403DEE"/>
    <w:lvl w:ilvl="0">
      <w:start w:val="1"/>
      <w:numFmt w:val="decimal"/>
      <w:lvlText w:val="%1)"/>
      <w:lvlJc w:val="left"/>
      <w:pPr>
        <w:ind w:left="4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28D4B2F"/>
    <w:multiLevelType w:val="multilevel"/>
    <w:tmpl w:val="26AE366E"/>
    <w:lvl w:ilvl="0">
      <w:start w:val="2"/>
      <w:numFmt w:val="decimal"/>
      <w:lvlText w:val="%1)"/>
      <w:lvlJc w:val="left"/>
      <w:pPr>
        <w:ind w:left="4215" w:hanging="360"/>
      </w:pPr>
    </w:lvl>
    <w:lvl w:ilvl="1">
      <w:start w:val="1"/>
      <w:numFmt w:val="decimal"/>
      <w:lvlText w:val="%2)"/>
      <w:lvlJc w:val="left"/>
      <w:pPr>
        <w:ind w:left="4575" w:hanging="360"/>
      </w:pPr>
    </w:lvl>
    <w:lvl w:ilvl="2">
      <w:start w:val="1"/>
      <w:numFmt w:val="decimal"/>
      <w:lvlText w:val="%3)"/>
      <w:lvlJc w:val="left"/>
      <w:pPr>
        <w:ind w:left="4935" w:hanging="360"/>
      </w:pPr>
    </w:lvl>
    <w:lvl w:ilvl="3">
      <w:start w:val="1"/>
      <w:numFmt w:val="decimal"/>
      <w:lvlText w:val="%4)"/>
      <w:lvlJc w:val="left"/>
      <w:pPr>
        <w:ind w:left="5295" w:hanging="360"/>
      </w:pPr>
    </w:lvl>
    <w:lvl w:ilvl="4">
      <w:start w:val="1"/>
      <w:numFmt w:val="decimal"/>
      <w:lvlText w:val="%5)"/>
      <w:lvlJc w:val="left"/>
      <w:pPr>
        <w:ind w:left="5655" w:hanging="360"/>
      </w:pPr>
    </w:lvl>
    <w:lvl w:ilvl="5">
      <w:start w:val="1"/>
      <w:numFmt w:val="decimal"/>
      <w:lvlText w:val="%6)"/>
      <w:lvlJc w:val="left"/>
      <w:pPr>
        <w:ind w:left="6015" w:hanging="360"/>
      </w:pPr>
    </w:lvl>
    <w:lvl w:ilvl="6">
      <w:start w:val="1"/>
      <w:numFmt w:val="decimal"/>
      <w:lvlText w:val="%7)"/>
      <w:lvlJc w:val="left"/>
      <w:pPr>
        <w:ind w:left="6375" w:hanging="360"/>
      </w:pPr>
    </w:lvl>
    <w:lvl w:ilvl="7">
      <w:start w:val="1"/>
      <w:numFmt w:val="decimal"/>
      <w:lvlText w:val="%8)"/>
      <w:lvlJc w:val="left"/>
      <w:pPr>
        <w:ind w:left="6735" w:hanging="360"/>
      </w:pPr>
    </w:lvl>
    <w:lvl w:ilvl="8">
      <w:start w:val="1"/>
      <w:numFmt w:val="decimal"/>
      <w:lvlText w:val="%9)"/>
      <w:lvlJc w:val="left"/>
      <w:pPr>
        <w:ind w:left="7095" w:hanging="360"/>
      </w:pPr>
    </w:lvl>
  </w:abstractNum>
  <w:abstractNum w:abstractNumId="7" w15:restartNumberingAfterBreak="0">
    <w:nsid w:val="4BEA2816"/>
    <w:multiLevelType w:val="multilevel"/>
    <w:tmpl w:val="273C881C"/>
    <w:lvl w:ilvl="0">
      <w:start w:val="6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4AFD"/>
    <w:rsid w:val="00150C73"/>
    <w:rsid w:val="001C246A"/>
    <w:rsid w:val="002D1D86"/>
    <w:rsid w:val="00444AFD"/>
    <w:rsid w:val="00553BE5"/>
    <w:rsid w:val="00582C01"/>
    <w:rsid w:val="006A3E13"/>
    <w:rsid w:val="00770F29"/>
    <w:rsid w:val="00847F5E"/>
    <w:rsid w:val="00904437"/>
    <w:rsid w:val="00A21A63"/>
    <w:rsid w:val="00A32C35"/>
    <w:rsid w:val="00AD668A"/>
    <w:rsid w:val="00C01C3E"/>
    <w:rsid w:val="00DF0A6A"/>
    <w:rsid w:val="00DF5ADE"/>
    <w:rsid w:val="00E37BCC"/>
    <w:rsid w:val="00EE38AD"/>
    <w:rsid w:val="00F87203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EE56C-FFEA-42E2-9FB6-6754C8F9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  <w:rPr>
      <w:lang w:val="de-DE"/>
    </w:rPr>
  </w:style>
  <w:style w:type="paragraph" w:customStyle="1" w:styleId="z">
    <w:name w:val="z"/>
    <w:basedOn w:val="Normalny"/>
    <w:pPr>
      <w:widowControl/>
      <w:suppressAutoHyphens w:val="0"/>
      <w:spacing w:after="300"/>
      <w:textAlignment w:val="auto"/>
    </w:pPr>
    <w:rPr>
      <w:rFonts w:ascii="inherit" w:eastAsia="Times New Roman" w:hAnsi="inherit" w:cs="Times New Roman"/>
      <w:kern w:val="0"/>
      <w:lang w:eastAsia="pl-PL" w:bidi="ar-SA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38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8AD"/>
  </w:style>
  <w:style w:type="paragraph" w:styleId="Stopka">
    <w:name w:val="footer"/>
    <w:basedOn w:val="Normalny"/>
    <w:link w:val="StopkaZnak"/>
    <w:uiPriority w:val="99"/>
    <w:unhideWhenUsed/>
    <w:rsid w:val="00EE3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2973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Ania</cp:lastModifiedBy>
  <cp:revision>12</cp:revision>
  <cp:lastPrinted>2021-09-07T10:12:00Z</cp:lastPrinted>
  <dcterms:created xsi:type="dcterms:W3CDTF">2021-08-25T09:17:00Z</dcterms:created>
  <dcterms:modified xsi:type="dcterms:W3CDTF">2021-09-15T05:14:00Z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