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settings.xml" ContentType="application/vnd.openxmlformats-officedocument.wordprocessingml.setting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spacing w:before="0" w:after="0"/>
        <w:jc w:val="center"/>
        <w:rPr>
          <w:rFonts w:ascii="Times New Roman" w:hAnsi="Times New Roman" w:cs="Times New Roman"/>
          <w:b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  <w:t>UCHWAŁA NR 84</w:t>
      </w:r>
      <w:bookmarkStart w:id="0" w:name="_GoBack"/>
      <w:bookmarkEnd w:id="0"/>
      <w:r>
        <w:rPr>
          <w:rFonts w:cs="Times New Roman" w:ascii="Times New Roman" w:hAnsi="Times New Roman"/>
          <w:b/>
          <w:sz w:val="24"/>
          <w:szCs w:val="24"/>
        </w:rPr>
        <w:t>/VIII/2021</w:t>
      </w:r>
    </w:p>
    <w:p>
      <w:pPr>
        <w:pStyle w:val="Normal"/>
        <w:spacing w:before="0" w:after="0"/>
        <w:jc w:val="center"/>
        <w:rPr>
          <w:rFonts w:ascii="Times New Roman" w:hAnsi="Times New Roman" w:cs="Times New Roman"/>
          <w:b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  <w:t>RADY GMINY BRANIEWO</w:t>
      </w:r>
    </w:p>
    <w:p>
      <w:pPr>
        <w:pStyle w:val="Normal"/>
        <w:spacing w:before="0" w:after="0"/>
        <w:jc w:val="center"/>
        <w:rPr>
          <w:rFonts w:ascii="Times New Roman" w:hAnsi="Times New Roman" w:cs="Times New Roman"/>
          <w:b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  <w:t>Z DNIA 10 WRZEŚNIA 2021 ROKU</w:t>
      </w:r>
    </w:p>
    <w:p>
      <w:pPr>
        <w:pStyle w:val="Normal"/>
        <w:jc w:val="both"/>
        <w:rPr>
          <w:rFonts w:ascii="Times New Roman" w:hAnsi="Times New Roman" w:cs="Times New Roman"/>
          <w:b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</w:r>
    </w:p>
    <w:p>
      <w:pPr>
        <w:pStyle w:val="Normal"/>
        <w:jc w:val="both"/>
        <w:rPr>
          <w:rFonts w:ascii="Times New Roman" w:hAnsi="Times New Roman" w:cs="Times New Roman"/>
          <w:b/>
          <w:b/>
        </w:rPr>
      </w:pPr>
      <w:r>
        <w:rPr>
          <w:rFonts w:cs="Times New Roman" w:ascii="Times New Roman" w:hAnsi="Times New Roman"/>
          <w:b/>
          <w:sz w:val="24"/>
          <w:szCs w:val="24"/>
        </w:rPr>
        <w:t>w sprawie ustalenia dopłat do taryfowych cen wody i ścieków obowiązujących w Przedsiębiorstwie Eksploatacji i Rozwoju Infrastruktury Gospodarczej Spółka z o. o.                         w Młotecznie</w:t>
      </w:r>
      <w:bookmarkStart w:id="1" w:name="_Hlk80005352"/>
      <w:bookmarkEnd w:id="1"/>
    </w:p>
    <w:p>
      <w:pPr>
        <w:pStyle w:val="Normal"/>
        <w:jc w:val="both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Na podstawie art.7 ust. 1 pkt 3 i art. 18 ust.2 pkt 15 ustawy z dnia 8 marca 1990r. o samorządzie gminy (tekst jednolity Dz.U. z 2021 r., poz. 1372) oraz art. 24 ust.6 ustawy z dnia 7 czerwca 2001r. o zbiorowym zaopatrzeniu w wodę i zbiorowym odprowadzeniu ścieków (tekst jednolity Dz.U z 2020r., poz.2028), na wniosek Przedsiębiorstwa Eksploatacji i Rozwoju Infrastruktury Gospodarczej Spółka z o. o. w Młotecznie, Rada Gminy Braniewo uchwala, co następuję:</w:t>
      </w:r>
    </w:p>
    <w:p>
      <w:pPr>
        <w:pStyle w:val="Normal"/>
        <w:jc w:val="both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 xml:space="preserve">                                                                                </w:t>
      </w:r>
      <w:r>
        <w:rPr>
          <w:rFonts w:cs="Times New Roman" w:ascii="Times New Roman" w:hAnsi="Times New Roman"/>
          <w:b/>
        </w:rPr>
        <w:t xml:space="preserve">  </w:t>
      </w:r>
      <w:r>
        <w:rPr>
          <w:rFonts w:cs="Times New Roman" w:ascii="Times New Roman" w:hAnsi="Times New Roman"/>
          <w:b/>
        </w:rPr>
        <w:t xml:space="preserve">§ 1.  </w:t>
      </w:r>
    </w:p>
    <w:p>
      <w:pPr>
        <w:pStyle w:val="Normal"/>
        <w:jc w:val="both"/>
        <w:rPr>
          <w:rFonts w:ascii="Times New Roman" w:hAnsi="Times New Roman" w:cs="Times New Roman"/>
          <w:b/>
          <w:b/>
        </w:rPr>
      </w:pPr>
      <w:r>
        <w:rPr>
          <w:rFonts w:cs="Times New Roman" w:ascii="Times New Roman" w:hAnsi="Times New Roman"/>
        </w:rPr>
        <w:t>1. Uchyla się uchwałę nr 57/VIII/2021 Rady Gminy Braniewo z dnia 21 maja 2021 roku w</w:t>
      </w:r>
      <w:r>
        <w:rPr>
          <w:rFonts w:cs="Times New Roman" w:ascii="Times New Roman" w:hAnsi="Times New Roman"/>
          <w:b/>
        </w:rPr>
        <w:t xml:space="preserve"> </w:t>
      </w:r>
      <w:r>
        <w:rPr>
          <w:rFonts w:cs="Times New Roman" w:ascii="Times New Roman" w:hAnsi="Times New Roman"/>
          <w:bCs/>
        </w:rPr>
        <w:t>sprawie ustalenia dopłat do taryfowych cen wody i ścieków obowiązujących w Przedsiębiorstwie Eksploatacji i Rozwoju Infrastruktury Gospodarczej Spółka z o. o.  w Młotecznie.</w:t>
      </w:r>
    </w:p>
    <w:p>
      <w:pPr>
        <w:pStyle w:val="Normal"/>
        <w:jc w:val="both"/>
        <w:rPr>
          <w:rFonts w:ascii="Times New Roman" w:hAnsi="Times New Roman" w:cs="Times New Roman"/>
          <w:b/>
          <w:b/>
        </w:rPr>
      </w:pPr>
      <w:r>
        <w:rPr>
          <w:rFonts w:cs="Times New Roman" w:ascii="Times New Roman" w:hAnsi="Times New Roman"/>
        </w:rPr>
        <w:t xml:space="preserve">                                                                                </w:t>
      </w:r>
      <w:r>
        <w:rPr>
          <w:rFonts w:cs="Times New Roman" w:ascii="Times New Roman" w:hAnsi="Times New Roman"/>
          <w:b/>
        </w:rPr>
        <w:t xml:space="preserve"> </w:t>
      </w:r>
      <w:r>
        <w:rPr>
          <w:rFonts w:cs="Times New Roman" w:ascii="Times New Roman" w:hAnsi="Times New Roman"/>
          <w:b/>
        </w:rPr>
        <w:t xml:space="preserve">§ 2.  </w:t>
      </w:r>
    </w:p>
    <w:p>
      <w:pPr>
        <w:pStyle w:val="Normal"/>
        <w:jc w:val="both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1. Ustala się dopłatę do ceny wody ponoszonej przez odbiorców z terenu gminy Braniewo zgodnie z obowiązująca taryfą w Przedsiębiorstwie Eksploatacji i Rozwoju Infrastruktury Gospodarczej Spółka z o. o. w Młotecznie 12A na okres od dnia 19 sierpnia 2021 r., do 18 sierpnia 2022 r.</w:t>
      </w:r>
    </w:p>
    <w:p>
      <w:pPr>
        <w:pStyle w:val="Normal"/>
        <w:jc w:val="both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2. Dopłata, o której mowa na wstępie wynosi:</w:t>
      </w:r>
    </w:p>
    <w:p>
      <w:pPr>
        <w:pStyle w:val="Normal"/>
        <w:spacing w:before="0" w:after="0"/>
        <w:jc w:val="both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1) grupa taryfowa W1 – odbiorcy wody odczytywani raz w miesiącu – cel bytowy: 0,19 zł/m³,</w:t>
      </w:r>
    </w:p>
    <w:p>
      <w:pPr>
        <w:pStyle w:val="Normal"/>
        <w:spacing w:before="0" w:after="0"/>
        <w:jc w:val="both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2) grupa taryfowa W2 – odbiorcy wody odczytywani, co dwa miesiące- cel bytowy: 0,00 zł/m³.</w:t>
      </w:r>
    </w:p>
    <w:p>
      <w:pPr>
        <w:pStyle w:val="Normal"/>
        <w:spacing w:before="0" w:after="0"/>
        <w:jc w:val="both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3) grupa taryfowa W3 – odbiorcy wody odczytywani raz w miesiącu – cel pozostały: 0,21 zł/m³.</w:t>
      </w:r>
    </w:p>
    <w:p>
      <w:pPr>
        <w:pStyle w:val="Normal"/>
        <w:spacing w:before="0" w:after="0"/>
        <w:jc w:val="both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 xml:space="preserve">                                                               </w:t>
      </w:r>
    </w:p>
    <w:p>
      <w:pPr>
        <w:pStyle w:val="Normal"/>
        <w:jc w:val="both"/>
        <w:rPr>
          <w:rFonts w:ascii="Times New Roman" w:hAnsi="Times New Roman" w:cs="Times New Roman"/>
          <w:b/>
          <w:b/>
        </w:rPr>
      </w:pPr>
      <w:r>
        <w:rPr>
          <w:rFonts w:cs="Times New Roman" w:ascii="Times New Roman" w:hAnsi="Times New Roman"/>
        </w:rPr>
        <w:t xml:space="preserve">                                                                                </w:t>
      </w:r>
      <w:r>
        <w:rPr>
          <w:rFonts w:cs="Times New Roman" w:ascii="Times New Roman" w:hAnsi="Times New Roman"/>
          <w:b/>
        </w:rPr>
        <w:t xml:space="preserve">§ 3. </w:t>
      </w:r>
    </w:p>
    <w:p>
      <w:pPr>
        <w:pStyle w:val="Normal"/>
        <w:jc w:val="both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 xml:space="preserve"> </w:t>
      </w:r>
      <w:r>
        <w:rPr>
          <w:rFonts w:cs="Times New Roman" w:ascii="Times New Roman" w:hAnsi="Times New Roman"/>
        </w:rPr>
        <w:t>1. Ustala się dopłatę do ceny ścieków ponoszonej przez odbiorców z terenu Gminy Braniewo zgodnie z obowiązującą taryfą w Przedsiębiorstwie Eksploatacji i Rozwoju Infrastruktury Gospodarczej Spółka z o. o. w Młotecznie na okres od 19 sierpnia 2021 roku do 18 sierpnia 2022 roku.</w:t>
      </w:r>
    </w:p>
    <w:p>
      <w:pPr>
        <w:pStyle w:val="Normal"/>
        <w:spacing w:before="0" w:after="0"/>
        <w:jc w:val="both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2. Dopłata, o której mowa w ust. 1 wynosi:</w:t>
      </w:r>
    </w:p>
    <w:p>
      <w:pPr>
        <w:pStyle w:val="Normal"/>
        <w:spacing w:before="0" w:after="0"/>
        <w:jc w:val="both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 xml:space="preserve"> </w:t>
      </w:r>
      <w:r>
        <w:rPr>
          <w:rFonts w:cs="Times New Roman" w:ascii="Times New Roman" w:hAnsi="Times New Roman"/>
        </w:rPr>
        <w:t xml:space="preserve">1)   grupa Ś1 -  wszyscy odbiorcy, od których ścieki odprowadzone są do oczyszczalni    </w:t>
      </w:r>
    </w:p>
    <w:p>
      <w:pPr>
        <w:pStyle w:val="Normal"/>
        <w:spacing w:before="0" w:after="0"/>
        <w:jc w:val="both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 xml:space="preserve">            </w:t>
      </w:r>
      <w:r>
        <w:rPr>
          <w:rFonts w:cs="Times New Roman" w:ascii="Times New Roman" w:hAnsi="Times New Roman"/>
        </w:rPr>
        <w:t>ścieków w Braniewie- odczytywani raz w miesiącu: 8,50 zł/m³,</w:t>
      </w:r>
    </w:p>
    <w:p>
      <w:pPr>
        <w:pStyle w:val="Normal"/>
        <w:spacing w:before="0" w:after="0"/>
        <w:jc w:val="both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 xml:space="preserve"> </w:t>
      </w:r>
      <w:r>
        <w:rPr>
          <w:rFonts w:cs="Times New Roman" w:ascii="Times New Roman" w:hAnsi="Times New Roman"/>
        </w:rPr>
        <w:t xml:space="preserve">2)   grupa Ś2 -  wszyscy odbiorcy, od których ścieki odprowadzone są do oczyszczalni    </w:t>
      </w:r>
    </w:p>
    <w:p>
      <w:pPr>
        <w:pStyle w:val="Normal"/>
        <w:spacing w:before="0" w:after="0"/>
        <w:jc w:val="both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 xml:space="preserve">            </w:t>
      </w:r>
      <w:r>
        <w:rPr>
          <w:rFonts w:cs="Times New Roman" w:ascii="Times New Roman" w:hAnsi="Times New Roman"/>
        </w:rPr>
        <w:t>ścieków w Braniewie- odczytywani, co drugi miesiąc: 8,41 zł/m³,</w:t>
      </w:r>
    </w:p>
    <w:p>
      <w:pPr>
        <w:pStyle w:val="Normal"/>
        <w:spacing w:before="0" w:after="0"/>
        <w:jc w:val="both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 xml:space="preserve"> </w:t>
      </w:r>
      <w:r>
        <w:rPr>
          <w:rFonts w:cs="Times New Roman" w:ascii="Times New Roman" w:hAnsi="Times New Roman"/>
        </w:rPr>
        <w:t xml:space="preserve">3)   grupa ŚL3 – wszyscy odbiorcy, od których ścieki odprowadzone są do oczyszczalni                      </w:t>
      </w:r>
    </w:p>
    <w:p>
      <w:pPr>
        <w:pStyle w:val="Normal"/>
        <w:spacing w:before="0" w:after="0"/>
        <w:jc w:val="both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 xml:space="preserve">            </w:t>
      </w:r>
      <w:r>
        <w:rPr>
          <w:rFonts w:cs="Times New Roman" w:ascii="Times New Roman" w:hAnsi="Times New Roman"/>
        </w:rPr>
        <w:t>ścieków w Lipowinie- odczytywani raz w miesiącu: 1,25 zł/m³,</w:t>
      </w:r>
    </w:p>
    <w:p>
      <w:pPr>
        <w:pStyle w:val="Normal"/>
        <w:spacing w:before="0" w:after="0"/>
        <w:jc w:val="both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 xml:space="preserve"> </w:t>
      </w:r>
      <w:r>
        <w:rPr>
          <w:rFonts w:cs="Times New Roman" w:ascii="Times New Roman" w:hAnsi="Times New Roman"/>
        </w:rPr>
        <w:t xml:space="preserve">4)   grupa ŚL4 – wszyscy odbiorcy, od których ścieki odprowadzone są do oczyszczalni                      </w:t>
      </w:r>
    </w:p>
    <w:p>
      <w:pPr>
        <w:pStyle w:val="Normal"/>
        <w:spacing w:before="0" w:after="0"/>
        <w:jc w:val="both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 xml:space="preserve">            </w:t>
      </w:r>
      <w:r>
        <w:rPr>
          <w:rFonts w:cs="Times New Roman" w:ascii="Times New Roman" w:hAnsi="Times New Roman"/>
        </w:rPr>
        <w:t>ścieków w Lipowinie- odczytywani, co drugi miesiąc: 1,08 zł/m³,</w:t>
      </w:r>
    </w:p>
    <w:p>
      <w:pPr>
        <w:pStyle w:val="Normal"/>
        <w:spacing w:before="0" w:after="0"/>
        <w:jc w:val="both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 xml:space="preserve"> </w:t>
      </w:r>
      <w:r>
        <w:rPr>
          <w:rFonts w:cs="Times New Roman" w:ascii="Times New Roman" w:hAnsi="Times New Roman"/>
        </w:rPr>
        <w:t xml:space="preserve">5)  grupa ŚG5– wszyscy odbiorcy, od których ścieki odprowadzone są do oczyszczalni    </w:t>
      </w:r>
    </w:p>
    <w:p>
      <w:pPr>
        <w:pStyle w:val="Normal"/>
        <w:spacing w:before="0" w:after="0"/>
        <w:jc w:val="both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 xml:space="preserve">            </w:t>
      </w:r>
      <w:r>
        <w:rPr>
          <w:rFonts w:cs="Times New Roman" w:ascii="Times New Roman" w:hAnsi="Times New Roman"/>
        </w:rPr>
        <w:t>ścieków w Gronowie- odczytywani raz w miesiącu: 6,32 zł/m³,</w:t>
      </w:r>
    </w:p>
    <w:p>
      <w:pPr>
        <w:pStyle w:val="Normal"/>
        <w:spacing w:before="0" w:after="0"/>
        <w:jc w:val="both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 xml:space="preserve"> </w:t>
      </w:r>
      <w:r>
        <w:rPr>
          <w:rFonts w:cs="Times New Roman" w:ascii="Times New Roman" w:hAnsi="Times New Roman"/>
        </w:rPr>
        <w:t xml:space="preserve">6)  grupa ŚG6– wszyscy odbiorcy, od których ścieki odprowadzone są do oczyszczalni    </w:t>
      </w:r>
    </w:p>
    <w:p>
      <w:pPr>
        <w:pStyle w:val="Normal"/>
        <w:spacing w:before="0" w:after="0"/>
        <w:jc w:val="both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 xml:space="preserve">           </w:t>
      </w:r>
      <w:r>
        <w:rPr>
          <w:rFonts w:cs="Times New Roman" w:ascii="Times New Roman" w:hAnsi="Times New Roman"/>
        </w:rPr>
        <w:t>ścieków w Gronowie odczytywani, co drugi miesiąc: 6,14 zł/m³.</w:t>
      </w:r>
    </w:p>
    <w:p>
      <w:pPr>
        <w:pStyle w:val="Normal"/>
        <w:spacing w:before="0" w:after="0"/>
        <w:jc w:val="both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</w:r>
    </w:p>
    <w:p>
      <w:pPr>
        <w:pStyle w:val="Normal"/>
        <w:spacing w:before="0" w:after="0"/>
        <w:jc w:val="both"/>
        <w:rPr>
          <w:rFonts w:ascii="Times New Roman" w:hAnsi="Times New Roman" w:cs="Times New Roman"/>
          <w:b/>
          <w:b/>
        </w:rPr>
      </w:pPr>
      <w:r>
        <w:rPr>
          <w:rFonts w:cs="Times New Roman" w:ascii="Times New Roman" w:hAnsi="Times New Roman"/>
          <w:b/>
        </w:rPr>
        <w:t xml:space="preserve">                                                                           </w:t>
      </w:r>
    </w:p>
    <w:p>
      <w:pPr>
        <w:pStyle w:val="Normal"/>
        <w:spacing w:before="0" w:after="0"/>
        <w:jc w:val="both"/>
        <w:rPr>
          <w:rFonts w:ascii="Times New Roman" w:hAnsi="Times New Roman" w:cs="Times New Roman"/>
          <w:b/>
          <w:b/>
        </w:rPr>
      </w:pPr>
      <w:r>
        <w:rPr>
          <w:rFonts w:cs="Times New Roman" w:ascii="Times New Roman" w:hAnsi="Times New Roman"/>
          <w:b/>
        </w:rPr>
      </w:r>
    </w:p>
    <w:p>
      <w:pPr>
        <w:pStyle w:val="Normal"/>
        <w:spacing w:before="0" w:after="0"/>
        <w:jc w:val="center"/>
        <w:rPr>
          <w:rFonts w:ascii="Times New Roman" w:hAnsi="Times New Roman" w:cs="Times New Roman"/>
          <w:b/>
          <w:b/>
        </w:rPr>
      </w:pPr>
      <w:r>
        <w:rPr>
          <w:rFonts w:cs="Times New Roman" w:ascii="Times New Roman" w:hAnsi="Times New Roman"/>
          <w:b/>
        </w:rPr>
        <w:t>§ 4.</w:t>
      </w:r>
    </w:p>
    <w:p>
      <w:pPr>
        <w:pStyle w:val="Normal"/>
        <w:spacing w:before="0" w:after="0"/>
        <w:jc w:val="both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 xml:space="preserve"> </w:t>
      </w:r>
    </w:p>
    <w:p>
      <w:pPr>
        <w:pStyle w:val="Normal"/>
        <w:spacing w:before="0" w:after="0"/>
        <w:ind w:left="284" w:hanging="284"/>
        <w:jc w:val="both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 xml:space="preserve"> </w:t>
      </w:r>
      <w:r>
        <w:rPr>
          <w:rFonts w:cs="Times New Roman" w:ascii="Times New Roman" w:hAnsi="Times New Roman"/>
        </w:rPr>
        <w:t>1. Dopłaty, o których mowa w § 2 i 3 będą przekazywane na rachunek bankowy Przedsiębiorstwa Eksploatacji i Rozwoju Infrastruktury Gospodarczej Spółka z o.o. w Młotecznie 12A w terminie 30 dnia od daty otrzymania faktury VAT.</w:t>
      </w:r>
    </w:p>
    <w:p>
      <w:pPr>
        <w:pStyle w:val="Normal"/>
        <w:spacing w:before="0" w:after="0"/>
        <w:ind w:left="284" w:hanging="284"/>
        <w:jc w:val="both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 xml:space="preserve"> </w:t>
      </w:r>
      <w:r>
        <w:rPr>
          <w:rFonts w:cs="Times New Roman" w:ascii="Times New Roman" w:hAnsi="Times New Roman"/>
        </w:rPr>
        <w:t>2. Szczegółowe rozliczenie dopłat, o których mowa w ust.1 dokonywane będzie w oparciu o faktyczną sprzedaż wody i odprowadzanie ścieków po zakończeniu każdego miesiąca na podstawie odczytów wodomierzy u odbiorców oraz przeciętnych norm zużycia wody dla odbiorców nieopomiarowanych.</w:t>
      </w:r>
    </w:p>
    <w:p>
      <w:pPr>
        <w:pStyle w:val="Normal"/>
        <w:spacing w:before="0" w:after="0"/>
        <w:ind w:left="284" w:hanging="284"/>
        <w:jc w:val="both"/>
        <w:rPr>
          <w:rFonts w:ascii="Times New Roman" w:hAnsi="Times New Roman" w:cs="Times New Roman"/>
          <w:b/>
          <w:b/>
          <w:bCs/>
        </w:rPr>
      </w:pPr>
      <w:r>
        <w:rPr>
          <w:rFonts w:cs="Times New Roman" w:ascii="Times New Roman" w:hAnsi="Times New Roman"/>
          <w:b/>
          <w:bCs/>
        </w:rPr>
      </w:r>
    </w:p>
    <w:p>
      <w:pPr>
        <w:pStyle w:val="Normal"/>
        <w:spacing w:before="0" w:after="0"/>
        <w:jc w:val="both"/>
        <w:rPr>
          <w:rFonts w:ascii="Times New Roman" w:hAnsi="Times New Roman" w:cs="Times New Roman"/>
          <w:b/>
          <w:b/>
          <w:bCs/>
        </w:rPr>
      </w:pPr>
      <w:r>
        <w:rPr>
          <w:rFonts w:cs="Times New Roman" w:ascii="Times New Roman" w:hAnsi="Times New Roman"/>
          <w:b/>
          <w:bCs/>
        </w:rPr>
        <w:t xml:space="preserve">                                                                            </w:t>
      </w:r>
      <w:r>
        <w:rPr>
          <w:rFonts w:cs="Times New Roman" w:ascii="Times New Roman" w:hAnsi="Times New Roman"/>
          <w:b/>
          <w:bCs/>
        </w:rPr>
        <w:t>§ 5.</w:t>
      </w:r>
    </w:p>
    <w:p>
      <w:pPr>
        <w:pStyle w:val="Normal"/>
        <w:spacing w:before="0" w:after="0"/>
        <w:jc w:val="both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 xml:space="preserve"> </w:t>
      </w:r>
    </w:p>
    <w:p>
      <w:pPr>
        <w:pStyle w:val="Normal"/>
        <w:spacing w:before="0" w:after="0"/>
        <w:jc w:val="both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1. Ustalona w § 2 i 3 wysokość dopłat nie zawiera podatku od towarów i usług.</w:t>
      </w:r>
    </w:p>
    <w:p>
      <w:pPr>
        <w:pStyle w:val="Normal"/>
        <w:spacing w:before="0" w:after="0"/>
        <w:jc w:val="both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</w:r>
    </w:p>
    <w:p>
      <w:pPr>
        <w:pStyle w:val="Normal"/>
        <w:spacing w:before="0" w:after="0"/>
        <w:jc w:val="both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2. Podatek od towarów i usług będzie naliczony zgodnie z obowiązującymi przepisami.</w:t>
      </w:r>
    </w:p>
    <w:p>
      <w:pPr>
        <w:pStyle w:val="Normal"/>
        <w:spacing w:before="0" w:after="0"/>
        <w:jc w:val="both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</w:r>
    </w:p>
    <w:p>
      <w:pPr>
        <w:pStyle w:val="Normal"/>
        <w:spacing w:before="0" w:after="0"/>
        <w:jc w:val="both"/>
        <w:rPr>
          <w:rFonts w:ascii="Times New Roman" w:hAnsi="Times New Roman" w:cs="Times New Roman"/>
          <w:b/>
          <w:b/>
          <w:bCs/>
        </w:rPr>
      </w:pPr>
      <w:r>
        <w:rPr>
          <w:rFonts w:cs="Times New Roman" w:ascii="Times New Roman" w:hAnsi="Times New Roman"/>
          <w:b/>
          <w:bCs/>
        </w:rPr>
        <w:t xml:space="preserve">                                                                           </w:t>
      </w:r>
      <w:r>
        <w:rPr>
          <w:rFonts w:cs="Times New Roman" w:ascii="Times New Roman" w:hAnsi="Times New Roman"/>
          <w:b/>
          <w:bCs/>
        </w:rPr>
        <w:t xml:space="preserve">§ 6. </w:t>
      </w:r>
    </w:p>
    <w:p>
      <w:pPr>
        <w:pStyle w:val="Normal"/>
        <w:spacing w:before="0" w:after="0"/>
        <w:jc w:val="both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</w:r>
    </w:p>
    <w:p>
      <w:pPr>
        <w:pStyle w:val="Normal"/>
        <w:spacing w:before="0" w:after="0"/>
        <w:jc w:val="both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Wykonanie uchwały powierza się Wójtowi Gminy Braniewo.</w:t>
      </w:r>
    </w:p>
    <w:p>
      <w:pPr>
        <w:pStyle w:val="Normal"/>
        <w:spacing w:before="0" w:after="0"/>
        <w:jc w:val="both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</w:r>
    </w:p>
    <w:p>
      <w:pPr>
        <w:pStyle w:val="Normal"/>
        <w:spacing w:before="0" w:after="0"/>
        <w:jc w:val="both"/>
        <w:rPr>
          <w:rFonts w:ascii="Times New Roman" w:hAnsi="Times New Roman" w:cs="Times New Roman"/>
          <w:b/>
          <w:b/>
          <w:bCs/>
        </w:rPr>
      </w:pPr>
      <w:r>
        <w:rPr>
          <w:rFonts w:cs="Times New Roman" w:ascii="Times New Roman" w:hAnsi="Times New Roman"/>
          <w:b/>
          <w:bCs/>
        </w:rPr>
        <w:t xml:space="preserve">                                                                           </w:t>
      </w:r>
      <w:r>
        <w:rPr>
          <w:rFonts w:cs="Times New Roman" w:ascii="Times New Roman" w:hAnsi="Times New Roman"/>
          <w:b/>
          <w:bCs/>
        </w:rPr>
        <w:t>§ 7.</w:t>
      </w:r>
    </w:p>
    <w:p>
      <w:pPr>
        <w:pStyle w:val="Normal"/>
        <w:spacing w:before="0" w:after="0"/>
        <w:jc w:val="both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</w:r>
    </w:p>
    <w:p>
      <w:pPr>
        <w:pStyle w:val="Normal"/>
        <w:spacing w:before="0" w:after="0"/>
        <w:jc w:val="both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1. Uchwała podlega ogłoszeniu na tablicy ogłoszeń Urzędu Gminy Braniewo w Braniewie,</w:t>
      </w:r>
    </w:p>
    <w:p>
      <w:pPr>
        <w:pStyle w:val="Normal"/>
        <w:spacing w:before="0" w:after="0"/>
        <w:jc w:val="both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2. Uchwała wchodzi w życie w dniu 19.08.2021r.</w:t>
      </w:r>
    </w:p>
    <w:p>
      <w:pPr>
        <w:pStyle w:val="Normal"/>
        <w:spacing w:before="0" w:after="0"/>
        <w:jc w:val="both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</w:r>
    </w:p>
    <w:p>
      <w:pPr>
        <w:pStyle w:val="Normal"/>
        <w:spacing w:before="0" w:after="0"/>
        <w:jc w:val="both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</w:r>
    </w:p>
    <w:p>
      <w:pPr>
        <w:pStyle w:val="Normal"/>
        <w:spacing w:before="0" w:after="0"/>
        <w:jc w:val="both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</w:r>
    </w:p>
    <w:p>
      <w:pPr>
        <w:pStyle w:val="Normal"/>
        <w:spacing w:before="0" w:after="0"/>
        <w:jc w:val="both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</w:r>
    </w:p>
    <w:p>
      <w:pPr>
        <w:pStyle w:val="Normal"/>
        <w:spacing w:before="0" w:after="0"/>
        <w:jc w:val="both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</w:r>
    </w:p>
    <w:p>
      <w:pPr>
        <w:pStyle w:val="Normal"/>
        <w:spacing w:before="0" w:after="0"/>
        <w:jc w:val="both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</w:r>
    </w:p>
    <w:p>
      <w:pPr>
        <w:pStyle w:val="Normal"/>
        <w:spacing w:before="0" w:after="0"/>
        <w:jc w:val="both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</w:r>
    </w:p>
    <w:p>
      <w:pPr>
        <w:pStyle w:val="Normal"/>
        <w:spacing w:before="0" w:after="0"/>
        <w:jc w:val="both"/>
        <w:rPr>
          <w:rFonts w:ascii="Times New Roman" w:hAnsi="Times New Roman" w:cs="Times New Roman"/>
        </w:rPr>
      </w:pPr>
      <w:r>
        <w:rPr/>
      </w:r>
    </w:p>
    <w:sectPr>
      <w:headerReference w:type="default" r:id="rId2"/>
      <w:type w:val="nextPage"/>
      <w:pgSz w:w="11906" w:h="16838"/>
      <w:pgMar w:left="1417" w:right="1417" w:gutter="0" w:header="708" w:top="1417" w:footer="0" w:bottom="1417"/>
      <w:pgNumType w:fmt="decimal"/>
      <w:formProt w:val="false"/>
      <w:textDirection w:val="lrTb"/>
      <w:docGrid w:type="default" w:linePitch="36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ee"/>
    <w:family w:val="roman"/>
    <w:pitch w:val="variable"/>
  </w:font>
  <w:font w:name="Calibri">
    <w:charset w:val="ee"/>
    <w:family w:val="roman"/>
    <w:pitch w:val="variable"/>
  </w:font>
  <w:font w:name="Liberation Sans">
    <w:altName w:val="Arial"/>
    <w:charset w:val="ee"/>
    <w:family w:val="swiss"/>
    <w:pitch w:val="variable"/>
  </w:font>
  <w:font w:name="Times New Roman">
    <w:charset w:val="ee"/>
    <w:family w:val="roman"/>
    <w:pitch w:val="variable"/>
  </w:font>
</w:fonts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NormalWeb"/>
      <w:spacing w:beforeAutospacing="0" w:before="0" w:after="0"/>
      <w:rPr/>
    </w:pPr>
    <w:r>
      <w:rPr>
        <w:b/>
        <w:bCs/>
        <w:color w:val="FF0000"/>
      </w:rPr>
      <w:t>RADA GMINY</w:t>
    </w:r>
  </w:p>
  <w:p>
    <w:pPr>
      <w:pStyle w:val="NormalWeb"/>
      <w:spacing w:beforeAutospacing="0" w:before="0" w:after="0"/>
      <w:rPr/>
    </w:pPr>
    <w:r>
      <w:rPr>
        <w:b/>
        <w:bCs/>
        <w:color w:val="FF0000"/>
      </w:rPr>
      <w:t xml:space="preserve"> </w:t>
    </w:r>
    <w:r>
      <w:rPr>
        <w:b/>
        <w:bCs/>
        <w:color w:val="FF0000"/>
      </w:rPr>
      <w:t>BRANIEWO</w:t>
    </w:r>
  </w:p>
  <w:p>
    <w:pPr>
      <w:pStyle w:val="Gwka"/>
      <w:rPr/>
    </w:pPr>
    <w:r>
      <w:rPr/>
    </w:r>
  </w:p>
</w:hdr>
</file>

<file path=word/settings.xml><?xml version="1.0" encoding="utf-8"?>
<w:settings xmlns:w="http://schemas.openxmlformats.org/wordprocessingml/2006/main">
  <w:zoom w:percent="100"/>
  <w:defaultTabStop w:val="708"/>
  <w:mailMerge>
    <w:mainDocumentType w:val="formLetters"/>
    <w:dataType w:val="textFile"/>
    <w:query w:val="SELECT * FROM ludzie projekt.dbo.Arkusz1$"/>
  </w:mailMerge>
  <w:autoHyphenation w:val="true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hyphenationZone w:val="425"/>
  <w:themeFontLang w:val="pl-PL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pl-PL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  <w:pPr>
      <w:widowControl/>
      <w:bidi w:val="0"/>
      <w:spacing w:lineRule="auto" w:line="259" w:before="0" w:after="160"/>
      <w:jc w:val="left"/>
    </w:pPr>
    <w:rPr>
      <w:rFonts w:ascii="Calibri" w:hAnsi="Calibri" w:eastAsia="Calibri" w:cs="" w:asciiTheme="minorHAnsi" w:cstheme="minorBidi" w:eastAsiaTheme="minorHAnsi" w:hAnsiTheme="minorHAnsi"/>
      <w:color w:val="auto"/>
      <w:kern w:val="0"/>
      <w:sz w:val="22"/>
      <w:szCs w:val="22"/>
      <w:lang w:val="pl-PL" w:eastAsia="en-US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NagwekZnak" w:customStyle="1">
    <w:name w:val="Nagłówek Znak"/>
    <w:basedOn w:val="DefaultParagraphFont"/>
    <w:link w:val="Nagwek"/>
    <w:uiPriority w:val="99"/>
    <w:qFormat/>
    <w:rsid w:val="00220e8c"/>
    <w:rPr/>
  </w:style>
  <w:style w:type="character" w:styleId="StopkaZnak" w:customStyle="1">
    <w:name w:val="Stopka Znak"/>
    <w:basedOn w:val="DefaultParagraphFont"/>
    <w:link w:val="Stopka"/>
    <w:uiPriority w:val="99"/>
    <w:qFormat/>
    <w:rsid w:val="00220e8c"/>
    <w:rPr/>
  </w:style>
  <w:style w:type="paragraph" w:styleId="Nagwek">
    <w:name w:val="Nagłówek"/>
    <w:basedOn w:val="Normal"/>
    <w:next w:val="Tretekstu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Tretekstu">
    <w:name w:val="Body Text"/>
    <w:basedOn w:val="Normal"/>
    <w:pPr>
      <w:spacing w:lineRule="auto" w:line="276" w:before="0" w:after="140"/>
    </w:pPr>
    <w:rPr/>
  </w:style>
  <w:style w:type="paragraph" w:styleId="Lista">
    <w:name w:val="List"/>
    <w:basedOn w:val="Tretekstu"/>
    <w:pPr/>
    <w:rPr>
      <w:rFonts w:cs="Arial"/>
    </w:rPr>
  </w:style>
  <w:style w:type="paragraph" w:styleId="Podpis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Indeks">
    <w:name w:val="Indeks"/>
    <w:basedOn w:val="Normal"/>
    <w:qFormat/>
    <w:pPr>
      <w:suppressLineNumbers/>
    </w:pPr>
    <w:rPr>
      <w:rFonts w:cs="Arial"/>
      <w:lang w:val="zxx" w:eastAsia="zxx" w:bidi="zxx"/>
    </w:rPr>
  </w:style>
  <w:style w:type="paragraph" w:styleId="ListParagraph">
    <w:name w:val="List Paragraph"/>
    <w:basedOn w:val="Normal"/>
    <w:uiPriority w:val="34"/>
    <w:qFormat/>
    <w:rsid w:val="000c3355"/>
    <w:pPr>
      <w:spacing w:before="0" w:after="160"/>
      <w:ind w:left="720" w:hanging="0"/>
      <w:contextualSpacing/>
    </w:pPr>
    <w:rPr/>
  </w:style>
  <w:style w:type="paragraph" w:styleId="Gwkaistopka">
    <w:name w:val="Główka i stopka"/>
    <w:basedOn w:val="Normal"/>
    <w:qFormat/>
    <w:pPr/>
    <w:rPr/>
  </w:style>
  <w:style w:type="paragraph" w:styleId="Gwka">
    <w:name w:val="Header"/>
    <w:basedOn w:val="Normal"/>
    <w:link w:val="NagwekZnak"/>
    <w:uiPriority w:val="99"/>
    <w:unhideWhenUsed/>
    <w:rsid w:val="00220e8c"/>
    <w:pPr>
      <w:tabs>
        <w:tab w:val="clear" w:pos="708"/>
        <w:tab w:val="center" w:pos="4536" w:leader="none"/>
        <w:tab w:val="right" w:pos="9072" w:leader="none"/>
      </w:tabs>
      <w:spacing w:lineRule="auto" w:line="240" w:before="0" w:after="0"/>
    </w:pPr>
    <w:rPr/>
  </w:style>
  <w:style w:type="paragraph" w:styleId="Stopka">
    <w:name w:val="Footer"/>
    <w:basedOn w:val="Normal"/>
    <w:link w:val="StopkaZnak"/>
    <w:uiPriority w:val="99"/>
    <w:unhideWhenUsed/>
    <w:rsid w:val="00220e8c"/>
    <w:pPr>
      <w:tabs>
        <w:tab w:val="clear" w:pos="708"/>
        <w:tab w:val="center" w:pos="4536" w:leader="none"/>
        <w:tab w:val="right" w:pos="9072" w:leader="none"/>
      </w:tabs>
      <w:spacing w:lineRule="auto" w:line="240" w:before="0" w:after="0"/>
    </w:pPr>
    <w:rPr/>
  </w:style>
  <w:style w:type="paragraph" w:styleId="NormalWeb">
    <w:name w:val="Normal (Web)"/>
    <w:basedOn w:val="Normal"/>
    <w:uiPriority w:val="99"/>
    <w:semiHidden/>
    <w:unhideWhenUsed/>
    <w:qFormat/>
    <w:rsid w:val="00220e8c"/>
    <w:pPr>
      <w:spacing w:lineRule="auto" w:line="240" w:beforeAutospacing="1" w:after="119"/>
    </w:pPr>
    <w:rPr>
      <w:rFonts w:ascii="Times New Roman" w:hAnsi="Times New Roman" w:eastAsia="Times New Roman" w:cs="Times New Roman"/>
      <w:sz w:val="24"/>
      <w:szCs w:val="24"/>
      <w:lang w:eastAsia="pl-PL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Standardowy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ntTable" Target="fontTable.xml"/><Relationship Id="rId4" Type="http://schemas.openxmlformats.org/officeDocument/2006/relationships/settings" Target="settings.xml"/><Relationship Id="rId5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147</TotalTime>
  <Application>LibreOffice/7.2.0.4$Windows_X86_64 LibreOffice_project/9a9c6381e3f7a62afc1329bd359cc48accb6435b</Application>
  <AppVersion>15.0000</AppVersion>
  <Pages>3</Pages>
  <Words>713</Words>
  <Characters>3765</Characters>
  <CharactersWithSpaces>5216</CharactersWithSpaces>
  <Paragraphs>49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2021-05-12T11:12:00Z</dcterms:created>
  <dc:creator>Justyna Żak</dc:creator>
  <dc:description/>
  <dc:language>pl-PL</dc:language>
  <cp:lastModifiedBy/>
  <cp:lastPrinted>2021-08-16T10:13:00Z</cp:lastPrinted>
  <dcterms:modified xsi:type="dcterms:W3CDTF">2021-09-23T12:30:13Z</dcterms:modified>
  <cp:revision>18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