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uppressAutoHyphens w:val="true"/>
        <w:bidi w:val="0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UCHWAŁA NR 63/VIII/2022</w:t>
      </w:r>
    </w:p>
    <w:p>
      <w:pPr>
        <w:pStyle w:val="Normal"/>
        <w:suppressAutoHyphens w:val="true"/>
        <w:bidi w:val="0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RADY GMINY BRANIEWO</w:t>
      </w:r>
    </w:p>
    <w:p>
      <w:pPr>
        <w:pStyle w:val="Normal"/>
        <w:suppressAutoHyphens w:val="true"/>
        <w:bidi w:val="0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Z DNIA 16 WRZEŚNIA 2022 ROKU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zbycie lokalu mieszkalnego wraz z udziałem w częściach wspólnych budynku i we współwłasności nieruchomości położonej w obrębie Żelazna Góra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uppressAutoHyphens w:val="true"/>
        <w:bidi w:val="0"/>
        <w:spacing w:lineRule="auto" w:line="240" w:before="0" w:after="0"/>
        <w:jc w:val="both"/>
        <w:textAlignment w:val="baseline"/>
        <w:rPr>
          <w:rFonts w:ascii="Calibri" w:hAnsi="Calibri" w:eastAsia="SimSun" w:cs="Calibri"/>
          <w:kern w:val="2"/>
        </w:rPr>
      </w:pPr>
      <w:r>
        <w:rPr>
          <w:rFonts w:eastAsia="SimSun" w:cs="Times New Roman" w:ascii="Times New Roman" w:hAnsi="Times New Roman"/>
          <w:kern w:val="2"/>
          <w:sz w:val="24"/>
          <w:szCs w:val="24"/>
        </w:rPr>
        <w:t>Na podstawie art. 18 ust. 2 pkt 9 lit. a ustawy z dnia 8 marca 1990 r., o samorządzie gminnym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textAlignment w:val="baseline"/>
        <w:rPr>
          <w:rFonts w:ascii="Times New Roman" w:hAnsi="Times New Roman" w:eastAsia="SimSun" w:cs="Times New Roman"/>
          <w:kern w:val="2"/>
          <w:sz w:val="24"/>
          <w:szCs w:val="24"/>
        </w:rPr>
      </w:pPr>
      <w:r>
        <w:rPr>
          <w:rFonts w:eastAsia="SimSun" w:cs="Times New Roman" w:ascii="Times New Roman" w:hAnsi="Times New Roman"/>
          <w:iCs/>
          <w:kern w:val="2"/>
          <w:sz w:val="24"/>
          <w:szCs w:val="24"/>
        </w:rPr>
        <w:t>(tekst jednolity: Dz.U. z 2022 r., poz. 559 z późn. zm.)</w:t>
      </w:r>
      <w:r>
        <w:rPr>
          <w:rFonts w:eastAsia="SimSun" w:cs="Times New Roman" w:ascii="Times New Roman" w:hAnsi="Times New Roman"/>
          <w:kern w:val="2"/>
          <w:sz w:val="24"/>
          <w:szCs w:val="24"/>
        </w:rPr>
        <w:t xml:space="preserve"> oraz art. 13 ust.1 i art. 37 ust.2 pkt 1 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textAlignment w:val="baseline"/>
        <w:rPr>
          <w:rFonts w:ascii="Times New Roman" w:hAnsi="Times New Roman" w:eastAsia="SimSun" w:cs="Times New Roman"/>
          <w:kern w:val="2"/>
          <w:sz w:val="24"/>
          <w:szCs w:val="24"/>
        </w:rPr>
      </w:pPr>
      <w:r>
        <w:rPr>
          <w:rFonts w:eastAsia="SimSun" w:cs="Times New Roman" w:ascii="Times New Roman" w:hAnsi="Times New Roman"/>
          <w:kern w:val="2"/>
          <w:sz w:val="24"/>
          <w:szCs w:val="24"/>
        </w:rPr>
        <w:t xml:space="preserve">w zw. z art. 34 ust.1 pkt.3 ustawy z dnia 21 sierpnia 1997 r., o gospodarce nieruchomościami 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textAlignment w:val="baseline"/>
        <w:rPr>
          <w:rFonts w:ascii="Calibri" w:hAnsi="Calibri" w:eastAsia="SimSun" w:cs="Calibri"/>
          <w:kern w:val="2"/>
        </w:rPr>
      </w:pPr>
      <w:r>
        <w:rPr>
          <w:rFonts w:eastAsia="SimSun" w:cs="Times New Roman" w:ascii="Times New Roman" w:hAnsi="Times New Roman"/>
          <w:iCs/>
          <w:kern w:val="2"/>
          <w:sz w:val="24"/>
          <w:szCs w:val="24"/>
        </w:rPr>
        <w:t>(tekst jednolity: Dz. U. z 2021 r.,</w:t>
      </w:r>
      <w:r>
        <w:rPr>
          <w:rFonts w:eastAsia="SimSun" w:cs="Calibri" w:ascii="Calibri" w:hAnsi="Calibri"/>
          <w:kern w:val="2"/>
        </w:rPr>
        <w:t xml:space="preserve"> </w:t>
      </w:r>
      <w:r>
        <w:rPr>
          <w:rFonts w:eastAsia="SimSun" w:cs="Times New Roman" w:ascii="Times New Roman" w:hAnsi="Times New Roman"/>
          <w:iCs/>
          <w:kern w:val="2"/>
          <w:sz w:val="24"/>
          <w:szCs w:val="24"/>
        </w:rPr>
        <w:t>poz. 1899 z późn.zm.)</w:t>
      </w:r>
      <w:r>
        <w:rPr>
          <w:rFonts w:eastAsia="SimSun" w:cs="Times New Roman" w:ascii="Times New Roman" w:hAnsi="Times New Roman"/>
          <w:kern w:val="2"/>
          <w:sz w:val="24"/>
          <w:szCs w:val="24"/>
        </w:rPr>
        <w:t xml:space="preserve"> Rada Gminy Braniewo uchwala, co następuje.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1.</w:t>
      </w:r>
    </w:p>
    <w:p>
      <w:pPr>
        <w:pStyle w:val="Normal"/>
        <w:bidi w:val="0"/>
        <w:spacing w:lineRule="auto" w:line="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 się zgodę na zbycie lokalu mieszkalnego nr 3 o pow. użytkowej 58,74 m² w budynku mieszkalnym wielorodzinnym nr 42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w Żelaznej Górze, dz. nr 176/2 o pow. 0,0928 ha, obręb Żelazna Góra, gm. Braniewo, dla której Sąd Rejonowy w Braniewie prowadzi księgę wieczystą numer EL1B/00034246/3 wraz z udziałem 6/26 w częściach wspólnych budynku i we współwłasności nieruchomości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2.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3.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default" r:id="rId2"/>
      <w:type w:val="nextPage"/>
      <w:pgSz w:w="11906" w:h="16838"/>
      <w:pgMar w:left="1134" w:right="1134" w:gutter="0" w:header="1134" w:top="1969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bidi w:val="0"/>
      <w:spacing w:beforeAutospacing="0" w:before="0" w:after="0"/>
      <w:jc w:val="left"/>
      <w:rPr/>
    </w:pPr>
    <w:r>
      <w:rPr>
        <w:b/>
        <w:bCs/>
        <w:color w:val="FF3333"/>
      </w:rPr>
      <w:t>RADA GMINY</w:t>
    </w:r>
  </w:p>
  <w:p>
    <w:pPr>
      <w:pStyle w:val="NormalWeb"/>
      <w:bidi w:val="0"/>
      <w:spacing w:beforeAutospacing="0" w:before="0" w:after="0"/>
      <w:jc w:val="left"/>
      <w:rPr/>
    </w:pPr>
    <w:r>
      <w:rPr>
        <w:b/>
        <w:bCs/>
        <w:color w:val="FF3333"/>
      </w:rPr>
      <w:t xml:space="preserve"> </w:t>
    </w:r>
    <w:r>
      <w:rPr>
        <w:b/>
        <w:bCs/>
        <w:color w:val="FF3333"/>
      </w:rPr>
      <w:t>BRANIEWO</w:t>
    </w:r>
  </w:p>
</w:hdr>
</file>

<file path=word/settings.xml><?xml version="1.0" encoding="utf-8"?>
<w:settings xmlns:w="http://schemas.openxmlformats.org/wordprocessingml/2006/main">
  <w:zoom w:percent="100"/>
  <w:defaultTabStop w:val="709"/>
  <w:mailMerge>
    <w:mainDocumentType w:val="formLetters"/>
    <w:dataType w:val="textFile"/>
    <w:query w:val="SELECT * FROM Adresy.dbo.Arkusz1$"/>
  </w:mailMerge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Gwkaistopka"/>
    <w:pPr>
      <w:suppressLineNumbers/>
    </w:pPr>
    <w:rPr/>
  </w:style>
  <w:style w:type="paragraph" w:styleId="NormalWeb">
    <w:name w:val="Normal (Web)"/>
    <w:basedOn w:val="Normal"/>
    <w:qFormat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193</Words>
  <Characters>941</Characters>
  <CharactersWithSpaces>1121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2022-10-10T07:20:57Z</dcterms:created>
  <dc:creator/>
  <dc:description/>
  <dc:language>pl-PL</dc:language>
  <cp:lastModifiedBy/>
  <dcterms:modified xsi:type="dcterms:W3CDTF">2022-10-10T07:21:51Z</dcterms:modified>
  <cp:revision>1</cp:revision>
  <dc:subject/>
  <dc:title/>
</cp:coreProperties>
</file>