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08B" w:rsidRPr="00B9208B" w:rsidRDefault="00B9208B" w:rsidP="00B9208B">
      <w:pPr>
        <w:widowControl w:val="0"/>
        <w:autoSpaceDN/>
        <w:jc w:val="center"/>
        <w:textAlignment w:val="auto"/>
        <w:rPr>
          <w:rFonts w:ascii="Times New Roman" w:eastAsia="Lucida Sans Unicode" w:hAnsi="Times New Roman" w:cs="Times New Roman"/>
          <w:b/>
          <w:kern w:val="0"/>
          <w:lang w:eastAsia="pl-PL" w:bidi="pl-PL"/>
        </w:rPr>
      </w:pPr>
      <w:r w:rsidRPr="00B9208B">
        <w:rPr>
          <w:rFonts w:ascii="Times New Roman" w:eastAsia="Lucida Sans Unicode" w:hAnsi="Times New Roman" w:cs="Times New Roman"/>
          <w:b/>
          <w:kern w:val="0"/>
          <w:lang w:eastAsia="pl-PL" w:bidi="pl-PL"/>
        </w:rPr>
        <w:t xml:space="preserve">UCHWAŁA NR </w:t>
      </w:r>
      <w:r w:rsidR="004258A8">
        <w:rPr>
          <w:rFonts w:ascii="Times New Roman" w:eastAsia="Lucida Sans Unicode" w:hAnsi="Times New Roman" w:cs="Times New Roman"/>
          <w:b/>
          <w:kern w:val="0"/>
          <w:lang w:eastAsia="pl-PL" w:bidi="pl-PL"/>
        </w:rPr>
        <w:t>24</w:t>
      </w:r>
      <w:r w:rsidRPr="00B9208B">
        <w:rPr>
          <w:rFonts w:ascii="Times New Roman" w:eastAsia="Lucida Sans Unicode" w:hAnsi="Times New Roman" w:cs="Times New Roman"/>
          <w:b/>
          <w:kern w:val="0"/>
          <w:lang w:eastAsia="pl-PL" w:bidi="pl-PL"/>
        </w:rPr>
        <w:t>/VIII/2023</w:t>
      </w:r>
    </w:p>
    <w:p w:rsidR="00B9208B" w:rsidRPr="00B9208B" w:rsidRDefault="00B9208B" w:rsidP="00B9208B">
      <w:pPr>
        <w:widowControl w:val="0"/>
        <w:autoSpaceDN/>
        <w:jc w:val="center"/>
        <w:textAlignment w:val="auto"/>
        <w:rPr>
          <w:rFonts w:ascii="Times New Roman" w:eastAsia="Lucida Sans Unicode" w:hAnsi="Times New Roman" w:cs="Times New Roman"/>
          <w:b/>
          <w:kern w:val="0"/>
          <w:lang w:eastAsia="pl-PL" w:bidi="pl-PL"/>
        </w:rPr>
      </w:pPr>
      <w:r w:rsidRPr="00B9208B">
        <w:rPr>
          <w:rFonts w:ascii="Times New Roman" w:eastAsia="Lucida Sans Unicode" w:hAnsi="Times New Roman" w:cs="Times New Roman"/>
          <w:b/>
          <w:kern w:val="0"/>
          <w:lang w:eastAsia="pl-PL" w:bidi="pl-PL"/>
        </w:rPr>
        <w:t>RADY GMINY BRANIEWO</w:t>
      </w:r>
    </w:p>
    <w:p w:rsidR="009B5D09" w:rsidRDefault="00B9208B" w:rsidP="005651F8">
      <w:pPr>
        <w:widowControl w:val="0"/>
        <w:autoSpaceDN/>
        <w:jc w:val="center"/>
        <w:textAlignment w:val="auto"/>
        <w:rPr>
          <w:rFonts w:ascii="Times New Roman" w:eastAsia="Lucida Sans Unicode" w:hAnsi="Times New Roman" w:cs="Times New Roman"/>
          <w:b/>
          <w:kern w:val="0"/>
          <w:lang w:eastAsia="pl-PL" w:bidi="pl-PL"/>
        </w:rPr>
      </w:pPr>
      <w:r w:rsidRPr="00B9208B">
        <w:rPr>
          <w:rFonts w:ascii="Times New Roman" w:eastAsia="Lucida Sans Unicode" w:hAnsi="Times New Roman" w:cs="Times New Roman"/>
          <w:b/>
          <w:kern w:val="0"/>
          <w:lang w:eastAsia="pl-PL" w:bidi="pl-PL"/>
        </w:rPr>
        <w:t>Z DNIA 10 MARCA 2023 ROKU</w:t>
      </w:r>
    </w:p>
    <w:p w:rsidR="005651F8" w:rsidRPr="005651F8" w:rsidRDefault="005651F8" w:rsidP="005651F8">
      <w:pPr>
        <w:widowControl w:val="0"/>
        <w:autoSpaceDN/>
        <w:jc w:val="center"/>
        <w:textAlignment w:val="auto"/>
        <w:rPr>
          <w:rFonts w:ascii="Times New Roman" w:eastAsia="Lucida Sans Unicode" w:hAnsi="Times New Roman" w:cs="Times New Roman"/>
          <w:b/>
          <w:kern w:val="0"/>
          <w:lang w:eastAsia="pl-PL" w:bidi="pl-PL"/>
        </w:rPr>
      </w:pPr>
    </w:p>
    <w:p w:rsidR="009B5D09" w:rsidRPr="00B9208B" w:rsidRDefault="00163228">
      <w:pPr>
        <w:suppressAutoHyphens w:val="0"/>
        <w:autoSpaceDE w:val="0"/>
        <w:spacing w:after="100"/>
        <w:jc w:val="both"/>
        <w:textAlignment w:val="auto"/>
        <w:rPr>
          <w:rFonts w:ascii="Times New Roman" w:hAnsi="Times New Roman"/>
          <w:b/>
        </w:rPr>
      </w:pPr>
      <w:proofErr w:type="gramStart"/>
      <w:r w:rsidRPr="00B9208B">
        <w:rPr>
          <w:rFonts w:ascii="Times New Roman" w:hAnsi="Times New Roman"/>
          <w:b/>
        </w:rPr>
        <w:t>w</w:t>
      </w:r>
      <w:proofErr w:type="gramEnd"/>
      <w:r w:rsidRPr="00B9208B">
        <w:rPr>
          <w:rFonts w:ascii="Times New Roman" w:hAnsi="Times New Roman"/>
          <w:b/>
        </w:rPr>
        <w:t xml:space="preserve"> sprawie </w:t>
      </w:r>
      <w:r w:rsidR="005651F8">
        <w:rPr>
          <w:rFonts w:ascii="Times New Roman" w:hAnsi="Times New Roman"/>
          <w:b/>
        </w:rPr>
        <w:t>zmiany w przedmiocie przyjęcia r</w:t>
      </w:r>
      <w:r w:rsidRPr="00B9208B">
        <w:rPr>
          <w:rFonts w:ascii="Times New Roman" w:hAnsi="Times New Roman"/>
          <w:b/>
        </w:rPr>
        <w:t xml:space="preserve">egulaminu utrzymania </w:t>
      </w:r>
      <w:r w:rsidR="00464328" w:rsidRPr="00B9208B">
        <w:rPr>
          <w:rFonts w:ascii="Times New Roman" w:hAnsi="Times New Roman"/>
          <w:b/>
        </w:rPr>
        <w:t>czystości</w:t>
      </w:r>
      <w:r w:rsidR="00464328">
        <w:rPr>
          <w:rFonts w:ascii="Times New Roman" w:hAnsi="Times New Roman"/>
          <w:b/>
        </w:rPr>
        <w:t xml:space="preserve"> i</w:t>
      </w:r>
      <w:r w:rsidRPr="00B9208B">
        <w:rPr>
          <w:rFonts w:ascii="Times New Roman" w:hAnsi="Times New Roman"/>
          <w:b/>
        </w:rPr>
        <w:t xml:space="preserve"> porządku na terenie Gminy Braniewo</w:t>
      </w:r>
    </w:p>
    <w:p w:rsidR="009B5D09" w:rsidRDefault="009B5D09">
      <w:pPr>
        <w:suppressAutoHyphens w:val="0"/>
        <w:autoSpaceDE w:val="0"/>
        <w:spacing w:after="100"/>
        <w:jc w:val="both"/>
        <w:textAlignment w:val="auto"/>
        <w:rPr>
          <w:rFonts w:ascii="Times New Roman" w:hAnsi="Times New Roman"/>
        </w:rPr>
      </w:pPr>
    </w:p>
    <w:p w:rsidR="009B5D09" w:rsidRDefault="00163228" w:rsidP="00B9208B">
      <w:pPr>
        <w:suppressAutoHyphens w:val="0"/>
        <w:autoSpaceDE w:val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Na podstawie art. 18 ust. 2 pkt. 15, art. 40 ust. 1 oraz art. 41 ust. 1 ustawy z dnia 8 marca 1</w:t>
      </w:r>
      <w:r w:rsidR="00B9208B">
        <w:rPr>
          <w:rFonts w:ascii="Times New Roman" w:hAnsi="Times New Roman"/>
        </w:rPr>
        <w:t>990r. o samorządzie gminnym (</w:t>
      </w:r>
      <w:proofErr w:type="spellStart"/>
      <w:r w:rsidR="00B9208B">
        <w:rPr>
          <w:rFonts w:ascii="Times New Roman" w:hAnsi="Times New Roman"/>
        </w:rPr>
        <w:t>t.</w:t>
      </w:r>
      <w:r>
        <w:rPr>
          <w:rFonts w:ascii="Times New Roman" w:hAnsi="Times New Roman"/>
        </w:rPr>
        <w:t>j</w:t>
      </w:r>
      <w:proofErr w:type="spellEnd"/>
      <w:r>
        <w:rPr>
          <w:rFonts w:ascii="Times New Roman" w:hAnsi="Times New Roman"/>
        </w:rPr>
        <w:t>. Dz. U. z 2023 r. poz. 40</w:t>
      </w:r>
      <w:r w:rsidR="00B9208B">
        <w:rPr>
          <w:rFonts w:ascii="Times New Roman" w:hAnsi="Times New Roman"/>
        </w:rPr>
        <w:t xml:space="preserve"> ze zm.</w:t>
      </w:r>
      <w:r>
        <w:rPr>
          <w:rFonts w:ascii="Times New Roman" w:hAnsi="Times New Roman"/>
        </w:rPr>
        <w:t>) oraz art. 4 ust. 1 i 2 ustawy z dnia 13 września 1996r. o utrzymaniu czystości i porządku w gminach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>. Dz. U. z 2022 r. poz. 2519), Rada Gminy Braniewo po zasięgnięciu opinii Państwowego Powiatowego Inspektora Sanitarnego w Braniewie, uchwala, co następuje:</w:t>
      </w:r>
    </w:p>
    <w:p w:rsidR="00B9208B" w:rsidRDefault="00B9208B" w:rsidP="00B9208B">
      <w:pPr>
        <w:suppressAutoHyphens w:val="0"/>
        <w:autoSpaceDE w:val="0"/>
        <w:jc w:val="both"/>
        <w:textAlignment w:val="auto"/>
        <w:rPr>
          <w:rFonts w:ascii="Times New Roman" w:hAnsi="Times New Roman"/>
        </w:rPr>
      </w:pPr>
    </w:p>
    <w:p w:rsidR="009B5D09" w:rsidRDefault="00163228">
      <w:pPr>
        <w:pStyle w:val="Standard"/>
        <w:spacing w:line="360" w:lineRule="auto"/>
        <w:jc w:val="center"/>
        <w:rPr>
          <w:rFonts w:hint="eastAsia"/>
        </w:rPr>
      </w:pPr>
      <w:bookmarkStart w:id="0" w:name="_Hlk51665247"/>
      <w:r>
        <w:rPr>
          <w:bCs/>
        </w:rPr>
        <w:t>§</w:t>
      </w:r>
      <w:bookmarkEnd w:id="0"/>
      <w:r>
        <w:rPr>
          <w:rFonts w:ascii="Times New Roman" w:hAnsi="Times New Roman" w:cs="Times New Roman"/>
          <w:b/>
        </w:rPr>
        <w:t xml:space="preserve"> 1</w:t>
      </w:r>
    </w:p>
    <w:p w:rsidR="009B5D09" w:rsidRDefault="00163228">
      <w:pPr>
        <w:tabs>
          <w:tab w:val="left" w:pos="9072"/>
        </w:tabs>
        <w:jc w:val="both"/>
        <w:rPr>
          <w:rFonts w:hint="eastAsia"/>
        </w:rPr>
      </w:pPr>
      <w:r>
        <w:rPr>
          <w:rFonts w:ascii="Times New Roman" w:hAnsi="Times New Roman"/>
        </w:rPr>
        <w:t xml:space="preserve">W </w:t>
      </w:r>
      <w:r w:rsidRPr="00B9208B">
        <w:rPr>
          <w:rFonts w:ascii="Times New Roman" w:hAnsi="Times New Roman" w:cs="Times New Roman"/>
        </w:rPr>
        <w:t xml:space="preserve">§ 10 </w:t>
      </w:r>
      <w:r w:rsidRPr="00B9208B">
        <w:rPr>
          <w:rFonts w:ascii="Times New Roman" w:hAnsi="Times New Roman"/>
        </w:rPr>
        <w:t>załącznika</w:t>
      </w:r>
      <w:r>
        <w:rPr>
          <w:rFonts w:ascii="Times New Roman" w:hAnsi="Times New Roman"/>
        </w:rPr>
        <w:t xml:space="preserve"> do uchwały Nr 85/VIII/2021 Rady Gminy Braniewo z dnia 10 września 2021 roku w sprawie </w:t>
      </w:r>
      <w:r>
        <w:rPr>
          <w:rFonts w:ascii="Times New Roman" w:eastAsia="Arial" w:hAnsi="Times New Roman" w:cs="Arial"/>
          <w:color w:val="1E1E1E"/>
        </w:rPr>
        <w:t>R</w:t>
      </w:r>
      <w:r>
        <w:rPr>
          <w:rFonts w:ascii="Times New Roman" w:eastAsia="Arial" w:hAnsi="Times New Roman" w:cs="Arial"/>
          <w:color w:val="010101"/>
        </w:rPr>
        <w:t>e</w:t>
      </w:r>
      <w:r>
        <w:rPr>
          <w:rFonts w:ascii="Times New Roman" w:eastAsia="Arial" w:hAnsi="Times New Roman" w:cs="Arial"/>
          <w:color w:val="1E1E1E"/>
        </w:rPr>
        <w:t>gul</w:t>
      </w:r>
      <w:r>
        <w:rPr>
          <w:rFonts w:ascii="Times New Roman" w:eastAsia="Arial" w:hAnsi="Times New Roman" w:cs="Arial"/>
          <w:color w:val="010101"/>
        </w:rPr>
        <w:t>am</w:t>
      </w:r>
      <w:r>
        <w:rPr>
          <w:rFonts w:ascii="Times New Roman" w:eastAsia="Arial" w:hAnsi="Times New Roman" w:cs="Arial"/>
          <w:color w:val="1E1E1E"/>
        </w:rPr>
        <w:t>inu ut</w:t>
      </w:r>
      <w:r>
        <w:rPr>
          <w:rFonts w:ascii="Times New Roman" w:eastAsia="Arial" w:hAnsi="Times New Roman" w:cs="Arial"/>
          <w:color w:val="010101"/>
        </w:rPr>
        <w:t>rz</w:t>
      </w:r>
      <w:r>
        <w:rPr>
          <w:rFonts w:ascii="Times New Roman" w:eastAsia="Arial" w:hAnsi="Times New Roman" w:cs="Arial"/>
          <w:color w:val="1E1E1E"/>
        </w:rPr>
        <w:t>ym</w:t>
      </w:r>
      <w:r>
        <w:rPr>
          <w:rFonts w:ascii="Times New Roman" w:eastAsia="Arial" w:hAnsi="Times New Roman" w:cs="Arial"/>
          <w:color w:val="010101"/>
        </w:rPr>
        <w:t>an</w:t>
      </w:r>
      <w:r>
        <w:rPr>
          <w:rFonts w:ascii="Times New Roman" w:eastAsia="Arial" w:hAnsi="Times New Roman" w:cs="Arial"/>
          <w:color w:val="1E1E1E"/>
        </w:rPr>
        <w:t>i</w:t>
      </w:r>
      <w:r>
        <w:rPr>
          <w:rFonts w:ascii="Times New Roman" w:eastAsia="Arial" w:hAnsi="Times New Roman" w:cs="Arial"/>
          <w:color w:val="010101"/>
        </w:rPr>
        <w:t>a c</w:t>
      </w:r>
      <w:r>
        <w:rPr>
          <w:rFonts w:ascii="Times New Roman" w:eastAsia="Arial" w:hAnsi="Times New Roman" w:cs="Arial"/>
          <w:color w:val="1E1E1E"/>
        </w:rPr>
        <w:t>zyst</w:t>
      </w:r>
      <w:r>
        <w:rPr>
          <w:rFonts w:ascii="Times New Roman" w:eastAsia="Arial" w:hAnsi="Times New Roman" w:cs="Arial"/>
          <w:color w:val="010101"/>
        </w:rPr>
        <w:t>o</w:t>
      </w:r>
      <w:r>
        <w:rPr>
          <w:rFonts w:ascii="Times New Roman" w:eastAsia="Arial" w:hAnsi="Times New Roman" w:cs="Arial CE"/>
          <w:color w:val="1E1E1E"/>
        </w:rPr>
        <w:t>ś</w:t>
      </w:r>
      <w:r>
        <w:rPr>
          <w:rFonts w:ascii="Times New Roman" w:eastAsia="Arial" w:hAnsi="Times New Roman" w:cs="Arial"/>
          <w:color w:val="010101"/>
        </w:rPr>
        <w:t>c</w:t>
      </w:r>
      <w:r>
        <w:rPr>
          <w:rFonts w:ascii="Times New Roman" w:eastAsia="Arial" w:hAnsi="Times New Roman" w:cs="Arial"/>
          <w:color w:val="373737"/>
        </w:rPr>
        <w:t xml:space="preserve">i i </w:t>
      </w:r>
      <w:r>
        <w:rPr>
          <w:rFonts w:ascii="Times New Roman" w:eastAsia="Arial" w:hAnsi="Times New Roman" w:cs="Arial"/>
          <w:color w:val="010101"/>
        </w:rPr>
        <w:t>porz</w:t>
      </w:r>
      <w:r>
        <w:rPr>
          <w:rFonts w:ascii="Times New Roman" w:eastAsia="Arial" w:hAnsi="Times New Roman" w:cs="Arial CE"/>
          <w:color w:val="010101"/>
        </w:rPr>
        <w:t>ą</w:t>
      </w:r>
      <w:r>
        <w:rPr>
          <w:rFonts w:ascii="Times New Roman" w:eastAsia="Arial" w:hAnsi="Times New Roman" w:cs="Arial"/>
          <w:color w:val="010101"/>
        </w:rPr>
        <w:t>d</w:t>
      </w:r>
      <w:r>
        <w:rPr>
          <w:rFonts w:ascii="Times New Roman" w:eastAsia="Arial" w:hAnsi="Times New Roman" w:cs="Arial"/>
          <w:color w:val="1E1E1E"/>
        </w:rPr>
        <w:t>k</w:t>
      </w:r>
      <w:r>
        <w:rPr>
          <w:rFonts w:ascii="Times New Roman" w:eastAsia="Arial" w:hAnsi="Times New Roman" w:cs="Arial"/>
          <w:color w:val="010101"/>
        </w:rPr>
        <w:t>u n</w:t>
      </w:r>
      <w:r>
        <w:rPr>
          <w:rFonts w:ascii="Times New Roman" w:eastAsia="Arial" w:hAnsi="Times New Roman" w:cs="Arial"/>
          <w:color w:val="1E1E1E"/>
        </w:rPr>
        <w:t>a te</w:t>
      </w:r>
      <w:r>
        <w:rPr>
          <w:rFonts w:ascii="Times New Roman" w:eastAsia="Arial" w:hAnsi="Times New Roman" w:cs="Arial"/>
          <w:color w:val="010101"/>
        </w:rPr>
        <w:t>ren</w:t>
      </w:r>
      <w:r>
        <w:rPr>
          <w:rFonts w:ascii="Times New Roman" w:eastAsia="Arial" w:hAnsi="Times New Roman" w:cs="Arial"/>
        </w:rPr>
        <w:t>ie Gminy Braniewo</w:t>
      </w:r>
      <w:r>
        <w:rPr>
          <w:rFonts w:ascii="Times New Roman" w:hAnsi="Times New Roman"/>
        </w:rPr>
        <w:t xml:space="preserve"> wprowadza się następujące zmiany:</w:t>
      </w:r>
    </w:p>
    <w:p w:rsidR="009B5D09" w:rsidRDefault="009B5D09">
      <w:pPr>
        <w:tabs>
          <w:tab w:val="left" w:pos="9072"/>
        </w:tabs>
        <w:jc w:val="both"/>
        <w:rPr>
          <w:rFonts w:hint="eastAsia"/>
        </w:rPr>
      </w:pPr>
    </w:p>
    <w:p w:rsidR="009B5D09" w:rsidRDefault="00163228" w:rsidP="00B9208B">
      <w:pPr>
        <w:pStyle w:val="Akapitzlist"/>
        <w:numPr>
          <w:ilvl w:val="0"/>
          <w:numId w:val="1"/>
        </w:numPr>
        <w:tabs>
          <w:tab w:val="left" w:pos="9072"/>
        </w:tabs>
        <w:ind w:left="426" w:hanging="426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>ust. 3 o treści: „Minimalna częstotliwość pozbywania się odpadów komunalnych z koszy</w:t>
      </w:r>
      <w:r w:rsidR="0072067B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i pojemników ustawionych przy drogach publicznych, ulicach, przystankach komunikacji miejskiej, parkach, skwerach oraz terenach przeznaczonych do użytku publicznego” oznacza się jako ust.5,</w:t>
      </w:r>
    </w:p>
    <w:p w:rsidR="009B5D09" w:rsidRDefault="00163228" w:rsidP="00B9208B">
      <w:pPr>
        <w:pStyle w:val="Akapitzlist"/>
        <w:numPr>
          <w:ilvl w:val="0"/>
          <w:numId w:val="1"/>
        </w:numPr>
        <w:tabs>
          <w:tab w:val="left" w:pos="9072"/>
        </w:tabs>
        <w:ind w:left="426" w:hanging="426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ust. 4 o treści: „Opróżnianie zbiorników bezodpływowych z terenu nieruchomości oraz </w:t>
      </w:r>
      <w:r w:rsidR="0072067B">
        <w:rPr>
          <w:rFonts w:ascii="Times New Roman" w:hAnsi="Times New Roman" w:cs="Times New Roman"/>
          <w:bCs/>
        </w:rPr>
        <w:t xml:space="preserve">       </w:t>
      </w:r>
      <w:r>
        <w:rPr>
          <w:rFonts w:ascii="Times New Roman" w:hAnsi="Times New Roman" w:cs="Times New Roman"/>
          <w:bCs/>
        </w:rPr>
        <w:t>z terenów przeznaczonych do użytku publicznego, powinno się odbywać z częstotliwością niedopuszczającą do ich przepełnienia, uzależnioną od pojemności zbiornika i ilości nieczystości ciekłych, nie rzadziej niż raz na pół roku” oznacza się jako ust. 6 i nadaje mu następujące brzmienie: „Opróżnianie zbiorników bezodpływowych z terenu nieruchomości oraz terenów przeznaczonych do użytku publicznego, powinno się odbywać z częstotliwością niedopuszczającą do ich przepełnienia, uzależnioną od pojemności zbiornika i ilości nieczystości ciekłych, nie rzadziej niż raz na trzy miesiące, natomiast w przypadku przydomowych oczyszczalni ścieków nie rzadziej niż raz na rok.”,</w:t>
      </w:r>
    </w:p>
    <w:p w:rsidR="009B5D09" w:rsidRPr="00B9208B" w:rsidRDefault="00163228" w:rsidP="00B9208B">
      <w:pPr>
        <w:pStyle w:val="Akapitzlist"/>
        <w:numPr>
          <w:ilvl w:val="0"/>
          <w:numId w:val="1"/>
        </w:numPr>
        <w:tabs>
          <w:tab w:val="left" w:pos="9072"/>
        </w:tabs>
        <w:ind w:left="426" w:hanging="426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ust. 5 o treści: „Opróżnianie zbiorników bezodpływowych i oczyszczalni przydomowych odbywa się na podstawie zamówienia właściciela nieruchomości złożonego do podmiotu uprawnionego, z którym podpisał umowę” oznacza </w:t>
      </w:r>
      <w:r w:rsidR="00464328">
        <w:rPr>
          <w:rFonts w:ascii="Times New Roman" w:hAnsi="Times New Roman" w:cs="Times New Roman"/>
          <w:bCs/>
        </w:rPr>
        <w:t>się, jako</w:t>
      </w:r>
      <w:r>
        <w:rPr>
          <w:rFonts w:ascii="Times New Roman" w:hAnsi="Times New Roman" w:cs="Times New Roman"/>
          <w:bCs/>
        </w:rPr>
        <w:t xml:space="preserve"> ust. 7. </w:t>
      </w:r>
    </w:p>
    <w:p w:rsidR="00B9208B" w:rsidRDefault="00B9208B" w:rsidP="00B9208B">
      <w:pPr>
        <w:pStyle w:val="Akapitzlist"/>
        <w:tabs>
          <w:tab w:val="left" w:pos="9072"/>
        </w:tabs>
        <w:ind w:left="426"/>
        <w:jc w:val="both"/>
        <w:rPr>
          <w:rFonts w:hint="eastAsia"/>
        </w:rPr>
      </w:pPr>
    </w:p>
    <w:p w:rsidR="009B5D09" w:rsidRDefault="00163228" w:rsidP="00B9208B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Times New Roman" w:hAnsi="Times New Roman"/>
          <w:b/>
          <w:bCs/>
        </w:rPr>
        <w:t>§ 2</w:t>
      </w:r>
    </w:p>
    <w:p w:rsidR="009B5D09" w:rsidRDefault="00163228">
      <w:pPr>
        <w:tabs>
          <w:tab w:val="left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Wykonanie uchwały powierza się Wójtowi Gminy Braniewo.</w:t>
      </w:r>
    </w:p>
    <w:p w:rsidR="009B5D09" w:rsidRDefault="009B5D09">
      <w:pPr>
        <w:tabs>
          <w:tab w:val="left" w:pos="9072"/>
        </w:tabs>
        <w:rPr>
          <w:rFonts w:ascii="Times New Roman" w:hAnsi="Times New Roman"/>
        </w:rPr>
      </w:pPr>
    </w:p>
    <w:p w:rsidR="009B5D09" w:rsidRDefault="00163228" w:rsidP="00B9208B">
      <w:pPr>
        <w:tabs>
          <w:tab w:val="left" w:pos="9072"/>
        </w:tabs>
        <w:spacing w:line="276" w:lineRule="auto"/>
        <w:jc w:val="center"/>
        <w:rPr>
          <w:rFonts w:hint="eastAsia"/>
        </w:rPr>
      </w:pPr>
      <w:r>
        <w:rPr>
          <w:rFonts w:ascii="Times New Roman" w:hAnsi="Times New Roman"/>
          <w:b/>
          <w:bCs/>
        </w:rPr>
        <w:t>§ 3</w:t>
      </w:r>
    </w:p>
    <w:p w:rsidR="009B5D09" w:rsidRDefault="00163228" w:rsidP="00B9208B">
      <w:pPr>
        <w:tabs>
          <w:tab w:val="left" w:pos="9072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Uchwała wchodzi w życie po upływie 14 dni od dnia ogłoszenia w Dzienniku Urzędowym Województwa Warmińsko-Mazurskiego.</w:t>
      </w:r>
    </w:p>
    <w:p w:rsidR="00B9208B" w:rsidRDefault="00B9208B" w:rsidP="00B9208B">
      <w:pPr>
        <w:autoSpaceDN/>
        <w:spacing w:after="160" w:line="252" w:lineRule="auto"/>
        <w:textAlignment w:val="auto"/>
        <w:rPr>
          <w:rFonts w:ascii="Times New Roman" w:hAnsi="Times New Roman"/>
        </w:rPr>
      </w:pPr>
    </w:p>
    <w:p w:rsidR="00B9208B" w:rsidRPr="00B9208B" w:rsidRDefault="00B9208B" w:rsidP="00B9208B">
      <w:pPr>
        <w:autoSpaceDN/>
        <w:spacing w:after="160" w:line="252" w:lineRule="auto"/>
        <w:textAlignment w:val="auto"/>
        <w:rPr>
          <w:rFonts w:ascii="Times New Roman" w:eastAsia="SimSun" w:hAnsi="Times New Roman" w:cs="Times New Roman"/>
          <w:kern w:val="0"/>
          <w:lang w:bidi="ar-SA"/>
        </w:rPr>
      </w:pPr>
    </w:p>
    <w:p w:rsidR="004A5FB7" w:rsidRDefault="00B9208B" w:rsidP="004A5FB7">
      <w:pPr>
        <w:suppressAutoHyphens w:val="0"/>
        <w:autoSpaceDN/>
        <w:ind w:left="3686" w:firstLine="992"/>
        <w:jc w:val="center"/>
        <w:textAlignment w:val="auto"/>
        <w:rPr>
          <w:rFonts w:ascii="Times New Roman" w:hAnsi="Times New Roman"/>
        </w:rPr>
      </w:pPr>
      <w:r w:rsidRPr="00B9208B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lang w:eastAsia="pl-PL" w:bidi="ar-SA"/>
        </w:rPr>
        <w:t xml:space="preserve">     </w:t>
      </w:r>
      <w:bookmarkStart w:id="1" w:name="_GoBack"/>
      <w:bookmarkEnd w:id="1"/>
    </w:p>
    <w:p w:rsidR="009B5D09" w:rsidRDefault="00163228">
      <w:pPr>
        <w:tabs>
          <w:tab w:val="left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B5D09" w:rsidRDefault="009B5D09">
      <w:pPr>
        <w:tabs>
          <w:tab w:val="left" w:pos="9072"/>
        </w:tabs>
        <w:rPr>
          <w:rFonts w:ascii="Times New Roman" w:hAnsi="Times New Roman"/>
        </w:rPr>
      </w:pPr>
    </w:p>
    <w:p w:rsidR="009B5D09" w:rsidRDefault="009B5D09">
      <w:pPr>
        <w:tabs>
          <w:tab w:val="left" w:pos="9072"/>
        </w:tabs>
        <w:rPr>
          <w:rFonts w:ascii="Times New Roman" w:hAnsi="Times New Roman"/>
        </w:rPr>
      </w:pPr>
    </w:p>
    <w:p w:rsidR="009B5D09" w:rsidRDefault="009B5D09">
      <w:pPr>
        <w:tabs>
          <w:tab w:val="left" w:pos="9072"/>
        </w:tabs>
        <w:rPr>
          <w:rFonts w:ascii="Times New Roman" w:hAnsi="Times New Roman"/>
        </w:rPr>
      </w:pPr>
    </w:p>
    <w:p w:rsidR="009B5D09" w:rsidRDefault="009B5D09">
      <w:pPr>
        <w:tabs>
          <w:tab w:val="left" w:pos="9072"/>
        </w:tabs>
        <w:rPr>
          <w:rFonts w:ascii="Times New Roman" w:hAnsi="Times New Roman"/>
        </w:rPr>
      </w:pPr>
    </w:p>
    <w:p w:rsidR="009B5D09" w:rsidRDefault="009B5D09">
      <w:pPr>
        <w:tabs>
          <w:tab w:val="left" w:pos="9072"/>
        </w:tabs>
        <w:rPr>
          <w:rFonts w:ascii="Times New Roman" w:hAnsi="Times New Roman"/>
        </w:rPr>
      </w:pPr>
    </w:p>
    <w:p w:rsidR="009B5D09" w:rsidRDefault="009B5D09">
      <w:pPr>
        <w:tabs>
          <w:tab w:val="left" w:pos="9072"/>
        </w:tabs>
        <w:rPr>
          <w:rFonts w:ascii="Times New Roman" w:hAnsi="Times New Roman"/>
        </w:rPr>
      </w:pPr>
    </w:p>
    <w:p w:rsidR="009B5D09" w:rsidRDefault="009B5D09">
      <w:pPr>
        <w:tabs>
          <w:tab w:val="left" w:pos="9072"/>
        </w:tabs>
        <w:rPr>
          <w:rFonts w:ascii="Times New Roman" w:hAnsi="Times New Roman"/>
        </w:rPr>
      </w:pPr>
    </w:p>
    <w:p w:rsidR="009B5D09" w:rsidRDefault="009B5D09">
      <w:pPr>
        <w:tabs>
          <w:tab w:val="left" w:pos="9072"/>
        </w:tabs>
        <w:rPr>
          <w:rFonts w:ascii="Times New Roman" w:hAnsi="Times New Roman"/>
        </w:rPr>
      </w:pPr>
    </w:p>
    <w:p w:rsidR="009B5D09" w:rsidRDefault="009B5D09">
      <w:pPr>
        <w:tabs>
          <w:tab w:val="left" w:pos="9072"/>
        </w:tabs>
        <w:rPr>
          <w:rFonts w:ascii="Times New Roman" w:hAnsi="Times New Roman"/>
        </w:rPr>
      </w:pPr>
    </w:p>
    <w:p w:rsidR="009B5D09" w:rsidRDefault="009B5D09">
      <w:pPr>
        <w:tabs>
          <w:tab w:val="left" w:pos="9072"/>
        </w:tabs>
        <w:rPr>
          <w:rFonts w:ascii="Times New Roman" w:hAnsi="Times New Roman"/>
        </w:rPr>
      </w:pPr>
    </w:p>
    <w:p w:rsidR="009B5D09" w:rsidRDefault="009B5D09">
      <w:pPr>
        <w:tabs>
          <w:tab w:val="left" w:pos="9072"/>
        </w:tabs>
        <w:rPr>
          <w:rFonts w:ascii="Times New Roman" w:hAnsi="Times New Roman"/>
        </w:rPr>
      </w:pPr>
    </w:p>
    <w:sectPr w:rsidR="009B5D09" w:rsidSect="00B920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809" w:rsidRDefault="00B40809">
      <w:pPr>
        <w:rPr>
          <w:rFonts w:hint="eastAsia"/>
        </w:rPr>
      </w:pPr>
      <w:r>
        <w:separator/>
      </w:r>
    </w:p>
  </w:endnote>
  <w:endnote w:type="continuationSeparator" w:id="0">
    <w:p w:rsidR="00B40809" w:rsidRDefault="00B408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809" w:rsidRDefault="00B4080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40809" w:rsidRDefault="00B408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08B" w:rsidRPr="00B9208B" w:rsidRDefault="00B9208B" w:rsidP="00B9208B">
    <w:pPr>
      <w:pageBreakBefore/>
      <w:suppressAutoHyphens w:val="0"/>
      <w:autoSpaceDN/>
      <w:textAlignment w:val="auto"/>
      <w:rPr>
        <w:rFonts w:ascii="Times New Roman" w:eastAsia="Times New Roman" w:hAnsi="Times New Roman" w:cs="Times New Roman"/>
        <w:kern w:val="0"/>
        <w:lang w:eastAsia="pl-PL" w:bidi="ar-SA"/>
      </w:rPr>
    </w:pPr>
    <w:r w:rsidRPr="00B9208B">
      <w:rPr>
        <w:rFonts w:ascii="Times New Roman" w:eastAsia="Times New Roman" w:hAnsi="Times New Roman" w:cs="Times New Roman"/>
        <w:b/>
        <w:bCs/>
        <w:color w:val="FF3333"/>
        <w:kern w:val="0"/>
        <w:lang w:eastAsia="pl-PL" w:bidi="ar-SA"/>
      </w:rPr>
      <w:t>RADA GMINY</w:t>
    </w:r>
  </w:p>
  <w:p w:rsidR="00B9208B" w:rsidRPr="00B9208B" w:rsidRDefault="00B9208B" w:rsidP="00B9208B">
    <w:pPr>
      <w:suppressAutoHyphens w:val="0"/>
      <w:autoSpaceDN/>
      <w:textAlignment w:val="auto"/>
      <w:rPr>
        <w:rFonts w:ascii="Times New Roman" w:eastAsia="Times New Roman" w:hAnsi="Times New Roman" w:cs="Times New Roman"/>
        <w:kern w:val="0"/>
        <w:lang w:eastAsia="pl-PL" w:bidi="ar-SA"/>
      </w:rPr>
    </w:pPr>
    <w:r w:rsidRPr="00B9208B">
      <w:rPr>
        <w:rFonts w:ascii="Times New Roman" w:eastAsia="Times New Roman" w:hAnsi="Times New Roman" w:cs="Times New Roman"/>
        <w:b/>
        <w:bCs/>
        <w:color w:val="FF3333"/>
        <w:kern w:val="0"/>
        <w:lang w:eastAsia="pl-PL" w:bidi="ar-SA"/>
      </w:rPr>
      <w:t xml:space="preserve"> BRANIEWO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B1685"/>
    <w:multiLevelType w:val="multilevel"/>
    <w:tmpl w:val="566036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7B"/>
    <w:rsid w:val="000C1DD2"/>
    <w:rsid w:val="00163228"/>
    <w:rsid w:val="004258A8"/>
    <w:rsid w:val="00464328"/>
    <w:rsid w:val="004A5FB7"/>
    <w:rsid w:val="005651F8"/>
    <w:rsid w:val="0063421D"/>
    <w:rsid w:val="0072067B"/>
    <w:rsid w:val="007C2CEE"/>
    <w:rsid w:val="009B5D09"/>
    <w:rsid w:val="00B40809"/>
    <w:rsid w:val="00B9208B"/>
    <w:rsid w:val="00EA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14C65-E0D0-4A82-A0E9-5C27B933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B920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9208B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B920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9208B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8A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8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\Desktop\Zmiana%20uchwa&#322;y%20o%20utrzymaniu%20czysto&#347;ci%20i%20porz&#261;dku%20w%20gminie%20Braniew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Zmiana uchwały o utrzymaniu czystości i porządku w gminie Braniewo.dotx</Template>
  <TotalTime>9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Ania</cp:lastModifiedBy>
  <cp:revision>8</cp:revision>
  <cp:lastPrinted>2023-03-01T06:44:00Z</cp:lastPrinted>
  <dcterms:created xsi:type="dcterms:W3CDTF">2023-02-20T11:37:00Z</dcterms:created>
  <dcterms:modified xsi:type="dcterms:W3CDTF">2023-03-01T07:30:00Z</dcterms:modified>
</cp:coreProperties>
</file>