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spacing w:after="0" w:before="0"/>
        <w:ind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  <w:t xml:space="preserve">RADA GMINY</w:t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  <w:t xml:space="preserve">BRANIEWO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color w:val="ff3333"/>
          <w:sz w:val="21"/>
          <w:szCs w:val="21"/>
        </w:rPr>
      </w:pPr>
      <w:r>
        <w:rPr>
          <w:rFonts w:ascii="Times New Roman" w:hAnsi="Times New Roman"/>
          <w:color w:val="ff3333"/>
          <w:sz w:val="21"/>
          <w:szCs w:val="21"/>
        </w:rPr>
      </w:r>
      <w:r>
        <w:rPr>
          <w:rFonts w:ascii="Times New Roman" w:hAnsi="Times New Roman"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color w:val="ff3333"/>
          <w:sz w:val="21"/>
          <w:szCs w:val="21"/>
        </w:rPr>
      </w:pPr>
      <w:r>
        <w:rPr>
          <w:rFonts w:ascii="Times New Roman" w:hAnsi="Times New Roman"/>
          <w:color w:val="ff3333"/>
          <w:sz w:val="21"/>
          <w:szCs w:val="21"/>
        </w:rPr>
      </w:r>
      <w:r>
        <w:rPr>
          <w:rFonts w:ascii="Times New Roman" w:hAnsi="Times New Roman"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color w:val="ff3333"/>
          <w:sz w:val="21"/>
          <w:szCs w:val="21"/>
        </w:rPr>
      </w:pPr>
      <w:r>
        <w:rPr>
          <w:rFonts w:ascii="Times New Roman" w:hAnsi="Times New Roman"/>
          <w:color w:val="ff3333"/>
          <w:sz w:val="21"/>
          <w:szCs w:val="21"/>
        </w:rPr>
      </w:r>
      <w:r>
        <w:rPr>
          <w:rFonts w:ascii="Times New Roman" w:hAnsi="Times New Roman"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76/IX/2024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Z DNIA 20 GRUDNIA 2024 ROKU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 w:line="36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8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wyrażenia zgody na zbycie </w:t>
      </w:r>
      <w:bookmarkStart w:id="0" w:name="_Hlk183071362"/>
      <w:r>
        <w:rPr>
          <w:b/>
          <w:bCs/>
          <w:sz w:val="24"/>
          <w:szCs w:val="24"/>
        </w:rPr>
        <w:t xml:space="preserve">nieruchomości zabudowanej bezodpływowym zbiornikiem na nieczystości ciekłe położony w obrębie Stępień</w:t>
      </w:r>
      <w:bookmarkEnd w:id="0"/>
      <w:r/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8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8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Na podstawie art. 18 ust. 2 pkt 9 lit. a ustawy z dnia 8 marca 1990 r. o samorządzie gminnym </w:t>
      </w:r>
      <w:bookmarkStart w:id="1" w:name="_Hlk183071603"/>
      <w:r>
        <w:rPr>
          <w:sz w:val="24"/>
          <w:szCs w:val="24"/>
        </w:rPr>
        <w:t xml:space="preserve">( </w:t>
      </w:r>
      <w:bookmarkStart w:id="2" w:name="_Hlk48731809"/>
      <w:r>
        <w:rPr>
          <w:sz w:val="24"/>
          <w:szCs w:val="24"/>
        </w:rPr>
        <w:t xml:space="preserve">t.j. Dz. z 2024 r. poz.</w:t>
      </w:r>
      <w:bookmarkEnd w:id="2"/>
      <w:r>
        <w:rPr>
          <w:sz w:val="24"/>
          <w:szCs w:val="24"/>
        </w:rPr>
        <w:t xml:space="preserve"> 1465)</w:t>
      </w:r>
      <w:bookmarkEnd w:id="1"/>
      <w:r>
        <w:rPr>
          <w:sz w:val="24"/>
          <w:szCs w:val="24"/>
        </w:rPr>
        <w:t xml:space="preserve"> oraz art. 13 ust. 1 i art. 37 ust. 2 pkt. 1 ustawy z dnia 21 sierpnia 1997 r., o gospodarce nieruchomościami (t.j. Dz. U. z 2024 r., poz.1145),  Rada Gminy Braniewo uchwala, co następuje: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8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§ 1.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Wyraża się zgodę na zbycie udział 1/5 w </w:t>
      </w:r>
      <w:bookmarkStart w:id="3" w:name="_Hlk183071937"/>
      <w:r>
        <w:rPr>
          <w:sz w:val="24"/>
          <w:szCs w:val="24"/>
        </w:rPr>
        <w:t xml:space="preserve">nieruchomości zabudowanej bezodpływowym zbiornikiem na nieczystości ciekłe położony na III klasie gruntu o powierzchni 0,0213 ha, obr. Stępień dla której Sąd Rejonowy w Braniewie prowadzi księgę wieczystą o numerze EL1B/00021138/9</w:t>
      </w:r>
      <w:bookmarkEnd w:id="3"/>
      <w:r/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2.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§ 3.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Uchwała wchodzi w życie z dniem podjęcia.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538" w:right="1417" w:bottom="1425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/>
      <w:color w:val="auto"/>
      <w:sz w:val="22"/>
      <w:szCs w:val="22"/>
      <w:lang w:val="pl-PL" w:eastAsia="en-US" w:bidi="ar-SA"/>
      <w14:ligatures w14:val="none"/>
    </w:rPr>
  </w:style>
  <w:style w:type="character" w:styleId="66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62">
    <w:name w:val="Domyślna czcionka akapitu"/>
    <w:qFormat/>
    <w:pPr>
      <w:pBdr/>
      <w:spacing/>
      <w:ind/>
    </w:pPr>
  </w:style>
  <w:style w:type="paragraph" w:styleId="663">
    <w:name w:val="Nagłówek"/>
    <w:basedOn w:val="660"/>
    <w:next w:val="664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4">
    <w:name w:val="Body Text"/>
    <w:basedOn w:val="660"/>
    <w:pPr>
      <w:pBdr/>
      <w:spacing w:after="140" w:before="0" w:line="276" w:lineRule="auto"/>
      <w:ind/>
    </w:pPr>
  </w:style>
  <w:style w:type="paragraph" w:styleId="665">
    <w:name w:val="List"/>
    <w:basedOn w:val="664"/>
    <w:pPr>
      <w:pBdr/>
      <w:spacing/>
      <w:ind/>
    </w:pPr>
    <w:rPr>
      <w:rFonts w:cs="Arial"/>
    </w:rPr>
  </w:style>
  <w:style w:type="paragraph" w:styleId="666">
    <w:name w:val="Caption"/>
    <w:basedOn w:val="66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7">
    <w:name w:val="Indeks"/>
    <w:basedOn w:val="660"/>
    <w:qFormat/>
    <w:pPr>
      <w:suppressLineNumbers w:val="true"/>
      <w:pBdr/>
      <w:spacing/>
      <w:ind/>
    </w:pPr>
    <w:rPr>
      <w:rFonts w:cs="Arial"/>
    </w:rPr>
  </w:style>
  <w:style w:type="paragraph" w:styleId="668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669">
    <w:name w:val="Normalny (Web)"/>
    <w:basedOn w:val="660"/>
    <w:qFormat/>
    <w:pPr>
      <w:widowControl w:val="true"/>
      <w:pBdr/>
      <w:spacing w:after="119" w:before="100"/>
      <w:ind/>
    </w:pPr>
    <w:rPr>
      <w:rFonts w:eastAsia="Times New Roman" w:cs="Times New Roman"/>
      <w:lang w:bidi="ar-SA"/>
    </w:rPr>
  </w:style>
  <w:style w:type="paragraph" w:styleId="670">
    <w:name w:val="Normalny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numbering" w:styleId="671">
    <w:name w:val="Bez listy"/>
    <w:uiPriority w:val="99"/>
    <w:semiHidden/>
    <w:unhideWhenUsed/>
    <w:qFormat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12</cp:revision>
  <dcterms:created xsi:type="dcterms:W3CDTF">2024-11-20T09:55:00Z</dcterms:created>
  <dcterms:modified xsi:type="dcterms:W3CDTF">2024-12-24T09:49:36Z</dcterms:modified>
</cp:coreProperties>
</file>