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jc w:val="left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RADA GMINY</w:t>
        <w:br/>
        <w:t xml:space="preserve">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57/IX/2025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rFonts w:cs="Times New Roman"/>
          <w:b/>
          <w:sz w:val="24"/>
          <w:szCs w:val="24"/>
        </w:rPr>
        <w:t>Z DNIA 16 MAJA 2025 ROKU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bookmarkStart w:id="0" w:name="_Hlk80005352"/>
      <w:r>
        <w:rPr>
          <w:rFonts w:cs="Times New Roman" w:ascii="Times New Roman" w:hAnsi="Times New Roman"/>
          <w:b/>
          <w:sz w:val="24"/>
          <w:szCs w:val="24"/>
        </w:rPr>
        <w:t>w sprawie ustalenia dopłat do taryfowych cen wody i ścieków obowiązujących                  w Przedsiębiorstwie Eksploatacji i Rozwoju Infrastruktury Gospodarczej Spółka z o. o.                         w Młotecznie</w:t>
      </w:r>
      <w:bookmarkEnd w:id="0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podstawie art. 7 ust. 1 pkt  3 i art. 18 ust. 2 pkt 15 ustawy z dnia 8 marca 1990 r. o samorządzie gminy (tekst jednolity Dz.U. z 2024 r., poz. 1465) oraz art. 24 ust. 6 ustawy z dnia 7 czerwca 2001 r., o zbiorowym zaopatrzeniu w wodę i zbiorowym odprowadzeniu ścieków (tekst jednolity Dz.U. z 2024 r., poz. 757), na wniosek Przedsiębiorstwa Eksploatacji i Rozwoju Infrastruktury Gospodarczej Spółka z o. o. w Młotecznie, Rada Gminy Braniewo zgodnie z decyzją GD.RZT.70.8.2023.JM.9 Państwowe Gospodarstwo Wodne Wody Polskie uchwala, co następuje: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 xml:space="preserve">   </w:t>
      </w:r>
      <w:r>
        <w:rPr>
          <w:rFonts w:cs="Times New Roman" w:ascii="Times New Roman" w:hAnsi="Times New Roman"/>
          <w:b/>
          <w:bCs/>
        </w:rPr>
        <w:t>§ 1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227" w:left="22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Ustala się dopłatę do ceny wody ponoszonej przez odbiorców z terenu gminy Braniewo zgodnie            z obowiązująca taryfą w Przedsiębiorstwie Eksploatacji i Rozwoju Infrastruktury Gospodarczej Spółka z o. o. w Młotecznie 12A na okres od dnia 1 czerwca 2025 r., do 31 maja 2026 r.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Dopłata, o której mowa w ust.1 wynosi: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27" w:right="0"/>
        <w:jc w:val="both"/>
        <w:rPr/>
      </w:pPr>
      <w:r>
        <w:rPr>
          <w:rFonts w:cs="Times New Roman" w:ascii="Times New Roman" w:hAnsi="Times New Roman"/>
        </w:rPr>
        <w:t>1) grupa taryfowa W1 – odbiorcy wody odczytywani raz w miesiącu – cel bytowy : 0,17 zł/m³,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27" w:right="0"/>
        <w:jc w:val="both"/>
        <w:rPr/>
      </w:pPr>
      <w:r>
        <w:rPr>
          <w:rFonts w:cs="Times New Roman" w:ascii="Times New Roman" w:hAnsi="Times New Roman"/>
        </w:rPr>
        <w:t>2) grupa taryfowa W2 – odbiorcy wody odczytywani co dwa miesiące- cel bytowy : 0,00 zł/m³.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27" w:right="0"/>
        <w:jc w:val="both"/>
        <w:rPr/>
      </w:pPr>
      <w:r>
        <w:rPr>
          <w:rFonts w:cs="Times New Roman" w:ascii="Times New Roman" w:hAnsi="Times New Roman"/>
        </w:rPr>
        <w:t>3) grupa taryfowa W3 – odbiorcy wody  odczytywani raz w miesiącu – cel pozostały : 0,19 zł/m³.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 xml:space="preserve">      </w:t>
      </w:r>
      <w:r>
        <w:rPr>
          <w:rFonts w:cs="Times New Roman" w:ascii="Times New Roman" w:hAnsi="Times New Roman"/>
          <w:b/>
          <w:bCs/>
        </w:rPr>
        <w:t>§ 2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283" w:left="283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1. Ustala się dopłatę do ceny ścieków ponoszonej przez odbiorców z terenu Gminy Braniewo zgodnie z obowiązującą taryfą w Przedsiębiorstwie Eksploatacji i Rozwoju Infrastruktury Gospodarczej Spółka z o. o. w Młotecznie na okres od 1 czerwca 2025 r., do 31 maja 2026 roku.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2. Dopłata o której mowa w ust. 1 wynosi :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1)   grupa Ś1 -  wszyscy odbiorcy, od których ścieki odprowadzone są do oczyszczalni    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Braniewie- odczytywani raz w miesiącu: 8,55 zł/m³,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2)   grupa Ś2 -  wszyscy odbiorcy, od których ścieki odprowadzone są do oczyszczalni    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Braniewie- odczytywani co drugi miesiąc: 8,53, zł/m³,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3)   grupa ŚL3 – wszyscy odbiorcy, od których ścieki odprowadzone są do oczyszczalni                      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Lipowinie- odczytywani raz w miesiącu :0,18 zł/m³,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4)   grupa ŚL4 – wszyscy odbiorcy, od których ścieki odprowadzone są do oczyszczalni                      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Lipowinie- odczytywani  co drugi miesiąc : 0,00 zł/m³,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5)  grupa ŚG5– wszyscy odbiorcy, od których ścieki odprowadzone są do oczyszczalni    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Gronowie- odczytywani raz w miesiącu : 6,61 zł/m³,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6)  grupa ŚG6– wszyscy odbiorcy, od których ścieki odprowadzone są do oczyszczalni    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28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>ścieków w Gronowie odczytywani co drugi miesiąc : 6,46 zł/m³.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b/>
        </w:rPr>
        <w:t>§ 3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1. Dopłaty, o których mowa w § 1 i 2 będą przekazywane na rachunek bankowy Przedsiębiorstwa    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340" w:left="340" w:right="0"/>
        <w:jc w:val="both"/>
        <w:rPr/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Eksploatacji i Rozwoju Infrastruktury Gospodarczej Spółka z o.o. w Młotecznie 12A w terminie     30 dnia od daty otrzymania faktury VAT.</w:t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397" w:left="39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2. Szczegółowe rozliczenie dopłat, o których mowa w ust.1 dokonywane będzie w oparciu o faktyczną  sprzedaż wody i odprowadzanie ścieków po zakończeniu każdego miesiąca na podstawie odczytów wodomierzy u odbiorców oraz przeciętnych norm zużycia wody dla odbiorców nieopomiarowanych.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                     </w:t>
      </w:r>
    </w:p>
    <w:p>
      <w:pPr>
        <w:pStyle w:val="NormalWeb"/>
        <w:spacing w:beforeAutospacing="0" w:before="0" w:after="0"/>
        <w:jc w:val="left"/>
        <w:rPr>
          <w:b/>
          <w:bCs/>
        </w:rPr>
      </w:pPr>
      <w:r>
        <w:rPr>
          <w:b/>
          <w:bCs/>
          <w:color w:val="FF0000"/>
          <w:sz w:val="20"/>
          <w:szCs w:val="20"/>
        </w:rPr>
        <w:t>RADA GMINY</w:t>
        <w:br/>
        <w:t xml:space="preserve"> 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t>§ 4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</w:rPr>
        <w:t>1. Ustalona w § 1 i 2 wysokość dopłat nie zawiera podatku od towarów i usług.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</w:rPr>
        <w:t>2. Podatek od towarów i usług będzie naliczony zgodnie z obowiązującymi przepisami.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>§ 5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Traci moc uchwała nr 52/VIII/2024  Rady Gminy Braniewo z 19 kwietnia 2024 roku w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Cs/>
        </w:rPr>
        <w:t>sprawie ustalenia dopłat do taryfowych cen wody i ścieków obowiązujących w Przedsiębiorstwie Eksploatacji i Rozwoju Infrastruktury Gospodarczej Spółka z o. o.  w Młotecznie.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>§ 6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Wykonanie uchwały powierza się Wójtowi Gminy Braniewo.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>§ 7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Uchwała podlega ogłoszeniu na tablicy ogłoszeń  Urzędu Gminy w Braniewie,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Uchwała wchodzi w życie dniem 1 czerwca 2025 r.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0000"/>
          <w:lang w:eastAsia="pl-PL"/>
        </w:rPr>
      </w:pPr>
      <w:r>
        <w:rPr>
          <w:rFonts w:cs="Times New Roman" w:ascii="Times New Roman" w:hAnsi="Times New Roman"/>
          <w:b/>
          <w:bCs/>
          <w:color w:val="FF0000"/>
          <w:lang w:eastAsia="pl-PL"/>
        </w:rPr>
        <w:t xml:space="preserve">                                                                  </w:t>
      </w:r>
      <w:r>
        <w:rPr>
          <w:rFonts w:cs="Times New Roman" w:ascii="Times New Roman" w:hAnsi="Times New Roman"/>
          <w:b/>
          <w:bCs/>
          <w:color w:val="FF0000"/>
          <w:sz w:val="20"/>
          <w:szCs w:val="20"/>
          <w:lang w:eastAsia="pl-PL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60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4659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2a4659"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2a4659"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a4659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a4659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a4659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a4659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a4659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a4659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a4659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a465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a465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a4659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a4659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2a4659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2a4659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2a4659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2a4659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2a4659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2a465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a465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a465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a4659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a465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a4659"/>
    <w:rPr>
      <w:b/>
      <w:bCs/>
      <w:smallCaps/>
      <w:color w:themeColor="accent1" w:themeShade="bf" w:val="2F5496"/>
      <w:spacing w:val="5"/>
    </w:rPr>
  </w:style>
  <w:style w:type="character" w:styleId="StopkaZnak">
    <w:name w:val="Stopka Znak"/>
    <w:qFormat/>
    <w:rPr>
      <w:rFonts w:ascii="Arial" w:hAnsi="Arial" w:cs="Arial"/>
    </w:rPr>
  </w:style>
  <w:style w:type="character" w:styleId="NagwekZnak">
    <w:name w:val="Nagłówek Znak"/>
    <w:qFormat/>
    <w:rPr>
      <w:rFonts w:ascii="Arial" w:hAnsi="Arial" w:cs="Arial"/>
    </w:rPr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2a465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2a4659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2a4659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2a4659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a4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user">
    <w:name w:val="Tabela (user)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pl-PL" w:eastAsia="zh-CN" w:bidi="ar-SA"/>
      <w14:ligatures w14:val="standardContextual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LibreOffice/24.8.6.2$Windows_X86_64 LibreOffice_project/6d98ba145e9a8a39fc57bcc76981d1fb1316c60c</Application>
  <AppVersion>15.0000</AppVersion>
  <Pages>2</Pages>
  <Words>614</Words>
  <Characters>3132</Characters>
  <CharactersWithSpaces>4592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2025-04-22T11:19:00Z</dcterms:created>
  <dc:creator>Kozińska Renata</dc:creator>
  <dc:description/>
  <dc:language>pl-PL</dc:language>
  <cp:lastModifiedBy/>
  <cp:lastPrinted>2025-05-06T08:19:35Z</cp:lastPrinted>
  <dcterms:modified xsi:type="dcterms:W3CDTF">2025-05-19T14:29:17Z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