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FF3333"/>
          <w:sz w:val="20"/>
          <w:szCs w:val="20"/>
          <w:lang w:eastAsia="pl-PL"/>
        </w:rPr>
        <w:t>RADA GMINY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sz w:val="20"/>
          <w:szCs w:val="20"/>
          <w:lang w:eastAsia="pl-PL" w:bidi="ar-SA"/>
        </w:rPr>
        <w:t xml:space="preserve">  </w:t>
      </w: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sz w:val="20"/>
          <w:szCs w:val="20"/>
          <w:lang w:eastAsia="pl-PL" w:bidi="ar-SA"/>
        </w:rPr>
        <w:t>BRANIEWO</w:t>
      </w:r>
    </w:p>
    <w:p>
      <w:pPr>
        <w:pStyle w:val="Normal"/>
        <w:spacing w:lineRule="auto" w:line="240" w:before="0" w:after="0"/>
        <w:jc w:val="center"/>
        <w:rPr>
          <w:rStyle w:val="Domylnaczcionkaakapitu"/>
          <w:rFonts w:ascii="Times New Roman" w:hAnsi="Times New Roman" w:eastAsia="Times New Roman" w:cs="Times New Roman"/>
          <w:b/>
          <w:bCs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 w:bidi="ar-SA"/>
        </w:rPr>
      </w:r>
    </w:p>
    <w:p>
      <w:pPr>
        <w:pStyle w:val="Normal"/>
        <w:spacing w:lineRule="auto" w:line="240" w:before="0" w:after="0"/>
        <w:jc w:val="center"/>
        <w:rPr>
          <w:rStyle w:val="Domylnaczcionkaakapitu"/>
          <w:rFonts w:ascii="Times New Roman" w:hAnsi="Times New Roman" w:eastAsia="Times New Roman" w:cs="Times New Roman"/>
          <w:b/>
          <w:bCs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 w:bidi="ar-S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 w:bidi="ar-SA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 w:bidi="ar-SA"/>
        </w:rPr>
        <w:t>UCHWAŁA NR 60/IX/2025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 w:bidi="ar-SA"/>
        </w:rPr>
        <w:t>RADY GMINY BRANIEWO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 w:bidi="ar-SA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 w:bidi="ar-SA"/>
        </w:rPr>
        <w:t xml:space="preserve">Z DNIA </w:t>
      </w:r>
      <w:r>
        <w:rPr>
          <w:rStyle w:val="Domylnaczcionkaakapitu"/>
          <w:rFonts w:eastAsia="Calibri" w:cs="Times New Roman" w:ascii="Times New Roman" w:hAnsi="Times New Roman"/>
          <w:b/>
          <w:bCs/>
          <w:sz w:val="24"/>
          <w:szCs w:val="24"/>
          <w:lang w:eastAsia="en-US" w:bidi="ar-SA"/>
        </w:rPr>
        <w:t>16 MAJA 2025 ROKU</w:t>
      </w:r>
    </w:p>
    <w:p>
      <w:pPr>
        <w:pStyle w:val="Normal"/>
        <w:spacing w:lineRule="auto" w:line="240" w:before="0" w:after="0"/>
        <w:jc w:val="center"/>
        <w:rPr>
          <w:rStyle w:val="Domylnaczcionkaakapitu"/>
          <w:rFonts w:ascii="Times New Roman" w:hAnsi="Times New Roman" w:eastAsia="Calibri" w:cs="Times New Roman"/>
          <w:b/>
          <w:bCs/>
          <w:sz w:val="24"/>
          <w:szCs w:val="24"/>
          <w:lang w:eastAsia="en-US" w:bidi="ar-SA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w sprawie ustalenia regulaminu określającego wysokość stawek i szczegółowe warunki przyznawania nauczycielom, zatrudnionym w szkole podstawowej, dla których organem prowadzącym jest Gmina Braniewo dodatków: za wysługę lat, motywacyjnego, funkcyjnego, za warunki pracy, a także szczegółowe warunki obliczania i wypłacania wynagrodzenia za godziny ponadwymiarowe i godziny doraźnych zastępstw oraz niektórych innych składników wynagrodzenia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Na podstawie art.  18 ust. 2 pkt 15 ustawy z dnia 8 marca 1990 r. o samorządzie gminnym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(t.j. Dz. U. z 2024 r. poz. 1465 z późn. zm.)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 oraz art. 30 ust. 6 i 6a, w związku z art. 91d pkt 1, art. 54 ust. 5 ustawy z dnia 26 stycznia 1982 r. Karta Nauczyciela (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t.j. Dz. U. z 2024 r. poz. 986 z późn. zm.), przy uwzględnieniu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przepisów rozporządzenia Ministra Edukacji Narodowej z dnia 31 stycznia 2005 r. w sprawie wysokości minimalnych stawek wynagrodzenia zasadniczego nauczycieli, ogólnych warunków przyznawania dodatków do wynagrodzenia zasadniczego oraz wynagradzania za pracę w dniu wolnym od pracy (t.j. Dz. U. z 2024 r. poz. 755),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 Rada Gminy Braniewo uchwala co następuje: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§ 1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Przyjmuje się regulamin określający wysokość stawek i szczegółowe warunki przyznawania nauczycielom zatrudnionym w szkole podstawowej prowadzonej przez Gminę Braniewo dodatków: za wysługę lat, motywacyjnego, funkcyjnego, za warunki pracy, a także szczegółowe warunki obliczania i wypłacania wynagrodzenia za godziny ponadwymiarowe i godziny doraźnych zastępstw oraz niektórych innych składników wynagrodzenia, zgodnie z załącznikiem nr 1 do niniejszej uchwały.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 2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Wykonanie uchwały powierza się Wójtowi Gminy Braniewo.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 xml:space="preserve">§ 3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highlight w:val="none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Traci moc uchwała nr 56/VIII/2019 Rady Gminy Braniewo z dnia 27 września 2019r.                  w sprawie ustalenia regulaminu określającego wysokość stawek i szczegółowe warunki przyznawania nauczycielom zatrudnionym w zespole szkół prowadzonym przez Gminę Braniewo dodatków: za wysługę lat, motywacyjnego, funkcyjnego, za warunki pracy, a także szczegółowe warunki obliczania i wypłacania wynagrodzenia za godziny ponadwymiarowe            i godziny doraźnych zastępstw oraz niektórych innych składników wynagrodzenia.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highlight w:val="none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 4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Uchwała wchodzi w życie po upływie 14 dni od dnia ogłoszenia w Dzienniku Urzędowym</w:t>
      </w:r>
    </w:p>
    <w:p>
      <w:pPr>
        <w:pStyle w:val="Normal"/>
        <w:suppressLineNumbers w:val="0"/>
        <w:spacing w:lineRule="auto" w:line="240" w:before="0" w:after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Województwa Warmińsko-Mazurskiego.</w:t>
      </w:r>
    </w:p>
    <w:p>
      <w:pPr>
        <w:pStyle w:val="Normal"/>
        <w:suppressLineNumbers w:val="0"/>
        <w:spacing w:lineRule="auto" w:line="240"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0000"/>
          <w:lang w:eastAsia="pl-PL"/>
        </w:rPr>
      </w:pPr>
      <w:r>
        <w:rPr>
          <w:rFonts w:cs="Times New Roman" w:ascii="Times New Roman" w:hAnsi="Times New Roman"/>
          <w:b/>
          <w:bCs/>
          <w:color w:val="FF0000"/>
          <w:lang w:eastAsia="pl-PL"/>
        </w:rPr>
        <w:t xml:space="preserve">                                                               </w:t>
      </w:r>
    </w:p>
    <w:p>
      <w:pPr>
        <w:pStyle w:val="Normal"/>
        <w:suppressLineNumbers w:val="0"/>
        <w:spacing w:lineRule="auto" w:line="240"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LineNumbers w:val="0"/>
        <w:spacing w:lineRule="auto" w:line="240" w:before="0" w:after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FF3333"/>
          <w:sz w:val="20"/>
          <w:szCs w:val="20"/>
          <w:lang w:eastAsia="pl-PL"/>
        </w:rPr>
        <w:t>RADA GMINY</w:t>
      </w:r>
    </w:p>
    <w:p>
      <w:pPr>
        <w:pStyle w:val="Normal"/>
        <w:spacing w:lineRule="auto" w:line="240" w:before="0" w:after="0"/>
        <w:rPr/>
      </w:pPr>
      <w:r>
        <w:rPr>
          <w:rStyle w:val="Domylnaczcionkaakapitu"/>
          <w:rFonts w:eastAsia="Times New Roman" w:cs="Times New Roman"/>
          <w:b/>
          <w:bCs/>
          <w:color w:val="FF3333"/>
          <w:sz w:val="20"/>
          <w:szCs w:val="20"/>
          <w:lang w:eastAsia="pl-PL" w:bidi="ar-SA"/>
        </w:rPr>
        <w:t xml:space="preserve">  </w:t>
      </w:r>
      <w:r>
        <w:rPr>
          <w:rStyle w:val="Domylnaczcionkaakapitu"/>
          <w:rFonts w:eastAsia="Times New Roman" w:cs="Times New Roman"/>
          <w:b/>
          <w:bCs/>
          <w:color w:val="FF3333"/>
          <w:sz w:val="20"/>
          <w:szCs w:val="20"/>
          <w:lang w:eastAsia="pl-PL" w:bidi="ar-SA"/>
        </w:rPr>
        <w:t>BRANIEWO</w:t>
      </w:r>
    </w:p>
    <w:p>
      <w:pPr>
        <w:pStyle w:val="Normal"/>
        <w:spacing w:lineRule="auto" w:line="240" w:before="0" w:after="0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ZAŁĄCZNIK NR 1 </w:t>
      </w:r>
    </w:p>
    <w:p>
      <w:pPr>
        <w:pStyle w:val="Normal"/>
        <w:spacing w:lineRule="auto" w:line="240" w:before="0" w:after="0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18"/>
          <w:szCs w:val="18"/>
        </w:rPr>
        <w:t>DO UCHWAŁY  NR 60/IX/2025</w:t>
      </w:r>
    </w:p>
    <w:p>
      <w:pPr>
        <w:pStyle w:val="Normal"/>
        <w:spacing w:lineRule="auto" w:line="240" w:before="0" w:after="0"/>
        <w:ind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          </w:t>
      </w:r>
      <w:r>
        <w:rPr>
          <w:rFonts w:ascii="Times New Roman" w:hAnsi="Times New Roman"/>
          <w:b/>
          <w:sz w:val="18"/>
          <w:szCs w:val="18"/>
        </w:rPr>
        <w:t>RADY GMINY BRANIEWO</w:t>
      </w:r>
    </w:p>
    <w:p>
      <w:pPr>
        <w:pStyle w:val="Normal"/>
        <w:spacing w:lineRule="auto" w:line="240" w:before="0" w:after="0"/>
        <w:ind w:left="0" w:right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 w:val="false"/>
          <w:sz w:val="18"/>
          <w:szCs w:val="18"/>
          <w:lang w:eastAsia="en-US"/>
        </w:rPr>
        <w:t xml:space="preserve">           </w:t>
      </w:r>
      <w:r>
        <w:rPr>
          <w:rFonts w:eastAsia="Calibri" w:cs="Times New Roman" w:ascii="Times New Roman" w:hAnsi="Times New Roman"/>
          <w:b/>
          <w:bCs w:val="false"/>
          <w:sz w:val="18"/>
          <w:szCs w:val="18"/>
          <w:lang w:eastAsia="en-US"/>
        </w:rPr>
        <w:t>Z DNIA 16 MAJA 2025 ROKU</w:t>
      </w:r>
    </w:p>
    <w:p>
      <w:pPr>
        <w:pStyle w:val="Normal"/>
        <w:spacing w:lineRule="auto" w:line="360" w:before="240" w:after="0"/>
        <w:jc w:val="left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360" w:before="24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R E G U L A M I N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określający wysokość stawek i szczegółowe warunki przyznawania nauczycielom zatrudnionym w szkole podstawowej, dla których organem prowadzącym jest Gmina Braniewo dodatków: za wysługę lat, motywacyjnego, funkcyjnego, za warunki pracy, a także szczegółowe warunki obliczania i wypłacania wynagrodzenia za godziny ponadwymiarowe i godziny doraźnych zastępstw oraz niektórych innych składników wynagrodzenia</w:t>
      </w:r>
    </w:p>
    <w:p>
      <w:pPr>
        <w:pStyle w:val="Normal"/>
        <w:spacing w:lineRule="auto" w:line="240" w:before="240" w:after="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1.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Regulamin określa stawki oraz szczegółowe warunki przyznawania nauczycielom:</w:t>
      </w:r>
    </w:p>
    <w:p>
      <w:pPr>
        <w:pStyle w:val="Normal"/>
        <w:spacing w:lineRule="auto" w:line="240"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right" w:pos="0" w:leader="none"/>
          <w:tab w:val="left" w:pos="426" w:leader="none"/>
        </w:tabs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1. dodatku za wysługę lat,</w:t>
      </w:r>
    </w:p>
    <w:p>
      <w:pPr>
        <w:pStyle w:val="Normal"/>
        <w:tabs>
          <w:tab w:val="clear" w:pos="708"/>
          <w:tab w:val="right" w:pos="0" w:leader="none"/>
          <w:tab w:val="left" w:pos="426" w:leader="none"/>
        </w:tabs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2. dodatku motywacyjnego,</w:t>
      </w:r>
    </w:p>
    <w:p>
      <w:pPr>
        <w:pStyle w:val="Normal"/>
        <w:tabs>
          <w:tab w:val="clear" w:pos="708"/>
          <w:tab w:val="right" w:pos="0" w:leader="none"/>
          <w:tab w:val="left" w:pos="426" w:leader="none"/>
        </w:tabs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3. dodatku funkcyjnego,</w:t>
      </w:r>
    </w:p>
    <w:p>
      <w:pPr>
        <w:pStyle w:val="Normal"/>
        <w:tabs>
          <w:tab w:val="clear" w:pos="708"/>
          <w:tab w:val="right" w:pos="0" w:leader="none"/>
          <w:tab w:val="left" w:pos="426" w:leader="none"/>
        </w:tabs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4. dodatku za warunki pracy,</w:t>
      </w:r>
    </w:p>
    <w:p>
      <w:pPr>
        <w:pStyle w:val="Normal"/>
        <w:tabs>
          <w:tab w:val="clear" w:pos="708"/>
          <w:tab w:val="right" w:pos="0" w:leader="none"/>
          <w:tab w:val="left" w:pos="426" w:leader="none"/>
        </w:tabs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5. wynagrodzenia za godziny ponadwymiarowe i godziny doraźnych zastępstw,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6. nagród ze specjalnego funduszu nagród,</w:t>
      </w:r>
    </w:p>
    <w:p>
      <w:pPr>
        <w:pStyle w:val="Normal"/>
        <w:tabs>
          <w:tab w:val="clear" w:pos="708"/>
          <w:tab w:val="right" w:pos="0" w:leader="none"/>
          <w:tab w:val="left" w:pos="426" w:leader="none"/>
        </w:tabs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7. dodatku mieszkaniowego.</w:t>
      </w:r>
    </w:p>
    <w:p>
      <w:pPr>
        <w:pStyle w:val="Normal"/>
        <w:tabs>
          <w:tab w:val="clear" w:pos="708"/>
          <w:tab w:val="right" w:pos="284" w:leader="none"/>
          <w:tab w:val="left" w:pos="426" w:leader="none"/>
        </w:tabs>
        <w:spacing w:lineRule="auto" w:line="240" w:before="0" w:after="0"/>
        <w:ind w:hanging="408" w:left="408" w:right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280" w:after="28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2. Dodatek za wysługę lat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Nauczycielowi przysługuje dodatek za wysługę lat nalicza się zgodnie z zasadami określonymi w rozporządzeniu wydanym na podstawie art. 33 ust. 1, art. 33 ust 3 ustawy z dnia 26 stycznia 1982 r. - Karta Nauczyciela (Dz. U. z 2018 r. poz. 967 z późn.zm)</w:t>
      </w: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  <w:t>.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Wypłata dodatku przypada w terminie uregulowanym w art. 39 ust. 3 i 4 Karty Nauczyciela.</w:t>
      </w:r>
    </w:p>
    <w:p>
      <w:pPr>
        <w:pStyle w:val="Normal"/>
        <w:spacing w:before="240" w:after="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 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3. Dodatek motywacyjny</w:t>
      </w:r>
    </w:p>
    <w:p>
      <w:pPr>
        <w:pStyle w:val="Normal"/>
        <w:spacing w:before="240" w:after="0"/>
        <w:ind w:hanging="284" w:left="284" w:right="0"/>
        <w:rPr/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1.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Warunkiem przyznania nauczycielowi dodatku motywacyjnego jest spełnienie, co najmniej pięciu z siedmiu wymogów określonych w pkt. 1-7, w tym wymogów określonych w pkt 1-2:</w:t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spacing w:before="0" w:after="0"/>
        <w:ind w:hanging="408" w:left="408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ab/>
        <w:t>1) uzyskiwanie szczególnych osiągnięć dydaktycznych, wychowawczych i opiekuńczych, a w szczególności: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a)</w:t>
        <w:tab/>
        <w:t>uzyskiwanie przez uczniów-z uwzględnieniem ich możliwości oraz warunków pracy nauczyciela-dobrych osiągnięć dydaktyczno-wychowawczych potwierdzanych wynikami klasyfikacji lub promocji, efektami egzaminów i sprawdzianów albo sukcesami w konkursach, zawodach, olimpiadach itp.,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b)</w:t>
        <w:tab/>
        <w:t>umiejętne rozwiązywanie problemów wychowawczych uczniów we współpracy z ich rodzicami,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c)</w:t>
        <w:tab/>
        <w:t>pełne rozpoznanie środowiska wychowawczego uczniów, aktywne i efektywne działanie na rzecz uczniów potrzebujących szczególnej opieki,</w:t>
      </w:r>
    </w:p>
    <w:p>
      <w:pPr>
        <w:pStyle w:val="Normal"/>
        <w:tabs>
          <w:tab w:val="clear" w:pos="708"/>
          <w:tab w:val="right" w:pos="284" w:leader="none"/>
          <w:tab w:val="left" w:pos="567" w:leader="none"/>
        </w:tabs>
        <w:spacing w:before="0" w:after="0"/>
        <w:ind w:hanging="408" w:left="408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 xml:space="preserve">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ab/>
        <w:t>2)</w:t>
        <w:tab/>
        <w:t>jakość świadczonej pracy, w tym związanej z powierzonym stanowiskiem kierowniczym, dodatkowym zadaniem lub zajęciem, a w szczególności: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a.</w:t>
        <w:tab/>
        <w:t>systematyczne i efektywne przygotowywanie się do przydzielonych obowiązków,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b.</w:t>
        <w:tab/>
        <w:t>podnoszenie umiejętności zawodowych,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c.</w:t>
        <w:tab/>
        <w:t>wzbogacanie własnego warsztatu pracy,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d.</w:t>
        <w:tab/>
        <w:t>dbałość o estetykę i sprawność powierzonych pomieszczeń, pomocy dydaktycznych lub innych urządzeń szkolnych,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e.</w:t>
        <w:tab/>
        <w:t>prawidłowe prowadzenie dokumentacji szkolnej, w tym pedagogicznej,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f.</w:t>
        <w:tab/>
        <w:t>rzetelne i terminowe wywiązywanie się z poleceń służbowych i powierzonych obowiązków,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72" w:left="680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g.</w:t>
        <w:tab/>
        <w:t>przestrzeganie dyscypliny pracy,</w:t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spacing w:before="0" w:after="0"/>
        <w:ind w:hanging="408" w:left="408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ab/>
        <w:t xml:space="preserve">   3) zaangażowanie w realizację czynności i zajęć, o których mowa w art. 42 ust. 2 pkt 2 Karty Nauczyciela.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 xml:space="preserve">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4) udział w organizowaniu imprez i uroczystości szkolnych,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426" w:left="426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5) opiekowanie się samorządem uczniowskim lub innymi organizacjami uczniowskimi działającymi na terenie szkoły,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284" w:left="426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6) prowadzenie lekcji koleżeńskich, przejawianie innych form aktywności w ramach wewnątrz szkolnego doskonalenia zawodowego nauczycieli,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 xml:space="preserve">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7) aktywny udział w realizowaniu innych zadań statutowych szkoły.</w:t>
      </w:r>
    </w:p>
    <w:p>
      <w:pPr>
        <w:pStyle w:val="Normal"/>
        <w:widowControl/>
        <w:tabs>
          <w:tab w:val="clear" w:pos="708"/>
          <w:tab w:val="left" w:pos="680" w:leader="none"/>
        </w:tabs>
        <w:suppressAutoHyphens w:val="true"/>
        <w:bidi w:val="0"/>
        <w:spacing w:lineRule="auto" w:line="276" w:before="0" w:after="0"/>
        <w:ind w:hanging="283" w:left="283" w:right="0"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2.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Warunkiem przyznawania dodatku motywacyjnego dyrektorowi szkoły, poza wymienionymi   w §3 ust.1 jest spełnienie następujących kryteriów:</w:t>
      </w:r>
    </w:p>
    <w:p>
      <w:pPr>
        <w:pStyle w:val="Normal"/>
        <w:spacing w:before="0" w:after="0"/>
        <w:ind w:hanging="426" w:left="426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1) tworzenie warunków do realizacji zadań dydaktycznych, wychowawczych i opiekuńczych szkoły w tym: opracowanie arkusza organizacyjnego, wyposażenie w środki dydaktyczne, sprzęt, organizowanie działalności administracyjnej, gospodarczej, kancelarii szkolnej, zapewnienie i czuwanie nad przestrzeganiem odpowiednich warunków bhp i ppoż.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2) opracowanie i realizacja planu finansowego szkoły,</w:t>
      </w:r>
    </w:p>
    <w:p>
      <w:pPr>
        <w:pStyle w:val="Normal"/>
        <w:spacing w:before="0" w:after="0"/>
        <w:ind w:hanging="426" w:left="426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3) dbałość o mienie w tym: organizowanie przeglądów technicznych, prace konserwacyjno-remontowe, czystość i estetyka szkoły,</w:t>
      </w:r>
    </w:p>
    <w:p>
      <w:pPr>
        <w:pStyle w:val="Normal"/>
        <w:spacing w:before="0" w:after="0"/>
        <w:ind w:hanging="426" w:left="426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4) prowadzenie spraw osobowych w tym: zatrudnienie zgodnie z kwalifikacjami, prowadzenie akt osobowych pracowników, dysponowanie funduszem świadczeń socjalnych, dyscyplina pracy,</w:t>
      </w:r>
    </w:p>
    <w:p>
      <w:pPr>
        <w:pStyle w:val="Normal"/>
        <w:spacing w:before="0" w:after="0"/>
        <w:ind w:hanging="284" w:left="426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5) sprawowanie nadzoru pedagogicznego w tym: realizacja programów nauczania, ocena pracy nauczycieli, opieka nad nauczycielami rozpoczynającymi pracę w zawodzie, zachęcanie do innowacji w zawodzie i eksperymentów, motywowanie do doskonalenia zawodowego, realizacja zaleceń i wniosków organów nadzoru pedagogicznego,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454" w:left="45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6) współdziałanie z organem prowadzącym w zakresie realizacji zadań edukacyjnych i wychowawczych oraz realizacja zaleceń i wniosków organu prowadzącego,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454" w:left="45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284" w:left="426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7) kształtowanie atmosfery w pracy, w szkole służącej realizacji statutowych zadań przez podległych pracowników,</w:t>
      </w:r>
    </w:p>
    <w:p>
      <w:pPr>
        <w:pStyle w:val="Normal"/>
        <w:spacing w:before="0" w:after="0"/>
        <w:ind w:firstLine="142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8) współpraca z organami szkoły i związkami zawodowymi,</w:t>
      </w:r>
    </w:p>
    <w:p>
      <w:pPr>
        <w:pStyle w:val="Normal"/>
        <w:spacing w:before="0" w:after="0"/>
        <w:ind w:firstLine="142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9) pozostałe obowiązki:</w:t>
      </w:r>
    </w:p>
    <w:p>
      <w:pPr>
        <w:pStyle w:val="Normal"/>
        <w:spacing w:before="0" w:after="0"/>
        <w:ind w:firstLine="426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a) przestrzeganie regulaminu pracy,</w:t>
      </w:r>
    </w:p>
    <w:p>
      <w:pPr>
        <w:pStyle w:val="Normal"/>
        <w:spacing w:before="0" w:after="0"/>
        <w:ind w:firstLine="426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b) troska o stan bazy, estetykę, ład, porządek,</w:t>
      </w:r>
    </w:p>
    <w:p>
      <w:pPr>
        <w:pStyle w:val="Normal"/>
        <w:spacing w:before="0" w:after="0"/>
        <w:ind w:firstLine="426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c) samodzielność i inicjatywa w rozwiązywaniu problemów,</w:t>
      </w:r>
    </w:p>
    <w:p>
      <w:pPr>
        <w:pStyle w:val="Normal"/>
        <w:spacing w:before="0" w:after="0"/>
        <w:ind w:hanging="567" w:left="567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d) inspirowanie nauczycieli do podejmowania zadań dodatkowych, konkursy, olimpiady, wycieczki, samodzielne wykonywanie pomocy dydaktycznych.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Dodatek motywacyjny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142" w:left="142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1. Dodatek motywacyjny przyznany nauczycielowi wynosi od 1 % do 5% wynagrodzenia zasadniczego,wicedyrektora od 1 % do 15 %, a dla dyrektora od 1% do 30 % wynagrodzenia zasadniczego.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2. Dodatek motywacyjny przyznaje się na czas określony, nie dłuższy niż 6 miesięcy.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3. Wysokość dodatku motywacyjnego dla nauczyciela oraz okres jego przyznania,   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 xml:space="preserve">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uwzględniając warunki określone w §3 ustala dyrektor, a w stosunku do dyrektora Wójt Gminy Braniewo.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4. </w:t>
      </w:r>
      <w:r>
        <w:rPr>
          <w:rFonts w:cs="Times New Roman" w:ascii="Times New Roman" w:hAnsi="Times New Roman"/>
          <w:sz w:val="24"/>
          <w:szCs w:val="24"/>
        </w:rPr>
        <w:t>Wypłata dodatku przypada w terminie uregulowanym w art. 39 ust. 3 i 4 Karty Nauczyciela.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5.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Dodatek funkcyjny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  <w:t>1.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Nauczycielowi, któremu powierzono stanowisko dyrektora lub wicedyrektora albo inne stanowisko kierownicze przewidziane w statucie Zespołu Szkół przysługuje dodatek funkcyjny.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Dodatek funkcyjny przysługuje również:</w:t>
      </w:r>
    </w:p>
    <w:p>
      <w:pPr>
        <w:pStyle w:val="Normal"/>
        <w:spacing w:before="0" w:after="0"/>
        <w:ind w:hanging="0" w:left="142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1) nauczycielowi, któremu powierzono wychowawstwo klasy,</w:t>
      </w:r>
    </w:p>
    <w:p>
      <w:pPr>
        <w:pStyle w:val="Normal"/>
        <w:spacing w:before="0" w:after="0"/>
        <w:ind w:hanging="0" w:left="142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2) nauczycielowi za sprawowanie funkcji:</w:t>
      </w:r>
    </w:p>
    <w:p>
      <w:pPr>
        <w:pStyle w:val="Normal"/>
        <w:spacing w:before="0" w:after="0"/>
        <w:ind w:hanging="0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a) opiekuna stażu/mentora, a</w:t>
      </w:r>
    </w:p>
    <w:p>
      <w:pPr>
        <w:pStyle w:val="Normal"/>
        <w:spacing w:before="0" w:after="0"/>
        <w:ind w:hanging="0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b) doradcy metodycznego lub nauczyciela- konsultanta </w:t>
      </w:r>
    </w:p>
    <w:p>
      <w:pPr>
        <w:pStyle w:val="Normal"/>
        <w:spacing w:lineRule="auto" w:line="240" w:before="0" w:after="0"/>
        <w:ind w:hanging="284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2a.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Dla stanowisk kierowniczych – przy przyznawaniu dodatku funkcyjnego uwzględnia się następujące kryteria: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1) stan zatrudnienia (ilość pracowników pedagogicznych i niepedagogicznych),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2) struktura szkoły,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3) prowadzenie w szkole stołówki,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4) liczbę stanowisk kierowniczych,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5) liczbę uczniów.</w:t>
      </w:r>
    </w:p>
    <w:p>
      <w:pPr>
        <w:pStyle w:val="Normal"/>
        <w:spacing w:lineRule="auto" w:line="240" w:before="0" w:after="0"/>
        <w:rPr>
          <w:rStyle w:val="Domylnaczcionkaakapitu"/>
          <w:rFonts w:ascii="Times New Roman" w:hAnsi="Times New Roman" w:eastAsia="Times New Roman" w:cs="Times New Roman"/>
          <w:b/>
          <w:bCs/>
          <w:color w:val="FF3333"/>
          <w:sz w:val="20"/>
          <w:szCs w:val="20"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color w:val="FF3333"/>
          <w:sz w:val="20"/>
          <w:szCs w:val="20"/>
          <w:lang w:eastAsia="pl-PL" w:bidi="ar-SA"/>
        </w:rPr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 xml:space="preserve">Wysokość dodatku funkcyjnego dla nauczycieli, o których mowa w § 5 ust. 1 i 2 określa </w:t>
      </w:r>
      <w:r>
        <w:rPr>
          <w:rFonts w:cs="Times New Roman" w:ascii="Times New Roman" w:hAnsi="Times New Roman"/>
          <w:bCs/>
          <w:sz w:val="24"/>
          <w:szCs w:val="24"/>
        </w:rPr>
        <w:t>załącznik nr 1 do Regulaminu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  <w:t>4.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Dodatek funkcyjny przysługuje nauczycielowi oddzielnie za każda sprawowaną funkcję bądź zajmowane stanowisko niezależnie od tego ile stanowisk piastuje lub funkcji sprawuje.</w:t>
      </w:r>
    </w:p>
    <w:p>
      <w:pPr>
        <w:pStyle w:val="Normal"/>
        <w:spacing w:before="0" w:after="0"/>
        <w:ind w:hanging="284" w:left="28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284" w:left="28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 Dodatek funkcyjny z tytułu pełnienia obowiązków opiekuna stażu lub mentora przysługuje za każda osobę odbywającą staż i oraz za każdą osobę początkującą w procesie wdrażania do pracy w zawodzie i powierzoną danemu nauczycielowi.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6. Dodatek funkcyjny w stawce ustalonej dla dyrektora Szkoły Podstawowej przysługuje nauczycielowi (wicedyrektorowi), któremu powierzono obowiązki kierownicze w zastępstwie. 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 Prawo do dodatku powstaje od pierwszego dnia miesiąca następującego po miesiącu, w którym nastąpiło powierzenie stanowiska kierowniczego, wychowawstwa klasy lub funkcji (opiekuna stażu lub doradcy metodycznego lub nauczyciela konsultanta), a jeżeli powierzenie to nastąpiło pierwszego dnia miesiąca - od tego dnia.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8. Dodatki funkcyjne przyznaje:</w:t>
      </w:r>
    </w:p>
    <w:p>
      <w:pPr>
        <w:pStyle w:val="Normal"/>
        <w:spacing w:before="0" w:after="0"/>
        <w:ind w:hanging="0" w:left="426" w:right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1) nauczycielowi</w:t>
      </w:r>
      <w:r>
        <w:rPr>
          <w:rFonts w:cs="Times New Roman" w:ascii="Times New Roman" w:hAnsi="Times New Roman"/>
          <w:sz w:val="24"/>
          <w:szCs w:val="24"/>
        </w:rPr>
        <w:t xml:space="preserve"> - dyrektor,</w:t>
      </w:r>
    </w:p>
    <w:p>
      <w:pPr>
        <w:pStyle w:val="Normal"/>
        <w:spacing w:before="0" w:after="0"/>
        <w:ind w:hanging="0" w:left="426" w:right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2) dyrektorowi – </w:t>
      </w:r>
      <w:r>
        <w:rPr>
          <w:rFonts w:cs="Times New Roman" w:ascii="Times New Roman" w:hAnsi="Times New Roman"/>
          <w:sz w:val="24"/>
          <w:szCs w:val="24"/>
        </w:rPr>
        <w:t>Wójt Gminy Braniewo.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9. Organy wymienione w ustępie poprzedzającym ustalają wysokość dodatku funkcyjnego w granicach wyznaczonych w załączniku nr 1 do Regulaminu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 Dodatek funkcyjny dla dyrektora ustala się na rok szkolny.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11. Wypłata dodatku przypada w terminie uregulowanym w art. 39 ust. 3 i 4 Karty Nauczyciela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</w:r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6.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Dodatek za warunki pracy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widowControl w:val="false"/>
        <w:numPr>
          <w:ilvl w:val="2"/>
          <w:numId w:val="2"/>
        </w:numPr>
        <w:tabs>
          <w:tab w:val="clear" w:pos="708"/>
          <w:tab w:val="left" w:pos="142" w:leader="none"/>
          <w:tab w:val="left" w:pos="284" w:leader="none"/>
          <w:tab w:val="left" w:pos="567" w:leader="none"/>
        </w:tabs>
        <w:spacing w:before="0" w:after="0"/>
        <w:ind w:hanging="284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Nauczycielowi przysługuje dodatek za warunki pracy.</w:t>
      </w:r>
    </w:p>
    <w:p>
      <w:pPr>
        <w:pStyle w:val="Normal"/>
        <w:widowControl w:val="false"/>
        <w:numPr>
          <w:ilvl w:val="2"/>
          <w:numId w:val="2"/>
        </w:numPr>
        <w:tabs>
          <w:tab w:val="clear" w:pos="708"/>
          <w:tab w:val="left" w:pos="0" w:leader="none"/>
          <w:tab w:val="left" w:pos="142" w:leader="none"/>
          <w:tab w:val="left" w:pos="284" w:leader="none"/>
          <w:tab w:val="left" w:pos="567" w:leader="none"/>
        </w:tabs>
        <w:spacing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Dodatek za warunki pracy z tytułu pracy w trudnych warunkach przysługuje: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before="0" w:after="0"/>
        <w:ind w:hanging="425" w:left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nauczycielom prowadzącym zajęcia dydaktyczne w klasach łączonych w wysokości 10 % stawki godzinowej za każdą przepracowana w tych klasach godzinę,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before="0" w:after="0"/>
        <w:ind w:hanging="425" w:left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nauczycielom prowadzącym nauczanie indywidualne dzieci skierowanych do kształcenia specjalnego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5 </w:t>
      </w:r>
      <w:r>
        <w:rPr>
          <w:rFonts w:cs="Times New Roman" w:ascii="Times New Roman" w:hAnsi="Times New Roman"/>
          <w:sz w:val="24"/>
          <w:szCs w:val="24"/>
        </w:rPr>
        <w:t>% stawki godzinowej za każdą przepracowaną godzinę.</w:t>
      </w:r>
    </w:p>
    <w:p>
      <w:pPr>
        <w:pStyle w:val="Normal"/>
        <w:widowControl w:val="false"/>
        <w:spacing w:before="0" w:after="0"/>
        <w:ind w:hanging="284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Dodatek, o którym mowa ust 2 pkt 2 przysługuje również nauczycielom szkół prowadzącym zajęcia w trudnych warunkach wymienionych w §8 pkt 4-16 rozporządzenia Ministra Edukacji Narodowej i Sportu z dnia 31 stycznia 2005 roku w sprawie wysokości minimalnych stawek wynagrodzenia zasadniczego nauczycieli, ogólnych warunków przyznawania dodatków do wynagrodzenia zasadniczego oraz wynagradzania za pracę w dniu wolnym od pracy (tj.Dz.U. z 2014r., poz. 416 ze zm.) z dziećmi i młodzieżą, których stan zdrowia z powodu stanów chorobowych, wymienionych w § 2 ust 1 rozporządzenia Ministra Pracy i Polityki Społecznej z dnia 1 lutego 2002r. w sprawie kryteriów oceny niepełnosprawności u osób w wieku do 16 roku życia (Dz.U. Nr 17, poz. 162 oraz z 2009r. Nr 226, poz. 1829), uzasadnia konieczność sprawowania stałej opieki lub udzielania pomocy, oraz z dziećmi i młodzieżą powyżej 16 roku życia, u których wystąpiło naruszenie sprawności organizmu z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283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przyczyn, o których mowa w §32 ust. 1 rozporządzenia Ministra Gospodarki Pracy i Polityki Społecznej z dnia 15 lipca 2003r. w sprawie orzekania o niepełnosprawności i stopniu niepełnosprawności (Dz.U. Nr 139, poz. 1328 oraz z 2009r. Nr 224, poz. 1803).</w:t>
      </w:r>
    </w:p>
    <w:p>
      <w:pPr>
        <w:pStyle w:val="Normal"/>
        <w:widowControl w:val="false"/>
        <w:spacing w:before="0" w:after="0"/>
        <w:ind w:hanging="284" w:left="284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 Wypłata dodatku przypada w terminie uregulowanym w art. 39 ust. 3 i 4 Karty Nauczyciela.</w:t>
      </w:r>
    </w:p>
    <w:p>
      <w:pPr>
        <w:pStyle w:val="Normal"/>
        <w:widowControl w:val="false"/>
        <w:spacing w:before="0" w:after="0"/>
        <w:ind w:hanging="284" w:left="28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ind w:hanging="284" w:left="28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ind w:hanging="284" w:left="284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7.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Ponadwymiarowe godziny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1. Wynagrodzenie za jedną godzinę ponadwymiarową i godzinę doraźnego zastępstwa oblicza się z zastrzeżeniem ust. 2, dzieląc przyznaną nauczycielowi stawkę wynagrodzenia zasadniczego łącznie z przyznanym dodatkiem za warunki pracy, przez miesięczną liczbę godzin tygodniowego obowiązkowego wymiaru zajęć, ustalonego dla rodzaju zajęć dydaktycznych, wychowawczych lub opiekuńczych realizowanych w ramach godzin ponadwymiarowych lub doraźnego zastępstwa nauczyciela. 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2. Dla nauczycieli realizujących tygodniowy obowiązkowy wymiar zajęć na podstawie art. 42 ust. 4a Karty Nauczyciela wynagrodzenie za godzinę doraźnego zastępstwa oblicza się dzieląc przyznaną nauczycielowi stawkę wynagrodzenia zasadniczego łącznie z przyznanym dodatkiem za warunki pracy, przez miesięczną liczbę godzin realizowanego wymiaru zajęć.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3. Miesięczną liczbę godzin obowiązkowego lub realizowanego wymiaru zajęć nauczyciela, o której mowa w ust. 1 i 2, ustala się mnożąc tygodniowy (obowiązkowy lub) realizowany wymiar zajęć przez 4,16 z zaokrągleniem do pełnych godzin w ten sposób, że czas zajęć do 0,5 godziny pomija się, a co najmniej 0,5 godziny liczy się za pełną godzinę.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4. Dla ustalenia wynagrodzenia za godziny ponadwymiarowe w tygodniach, w których przypadają dni usprawiedliwionej nieobecności w pracy nauczyciela lub dni ustawowo wolne od pracy oraz w tygodniach, w których zajęcia rozpoczynają się lub kończą w środku tygodnia - za podstawę ustalenia liczby godzin ponadwymiarowych przyjmuje się tygodniowy obowiązkowy wymiar zajęć określony w art. 42 ust. 3 Karty Nauczyciela lub ustalony na podstawie art. 42 ust. 7 Karty Nauczyciela, pomniejszony o </w:t>
      </w:r>
      <w:r>
        <w:rPr>
          <w:rFonts w:eastAsia="Calibri" w:cs="Times New Roman" w:ascii="Times New Roman" w:hAnsi="Times New Roman"/>
          <w:sz w:val="24"/>
          <w:szCs w:val="24"/>
          <w:vertAlign w:val="superscript"/>
          <w:lang w:eastAsia="en-US"/>
        </w:rPr>
        <w:t>1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/5 tego wymiaru lub </w:t>
      </w:r>
      <w:r>
        <w:rPr>
          <w:rFonts w:eastAsia="Calibri" w:cs="Times New Roman" w:ascii="Times New Roman" w:hAnsi="Times New Roman"/>
          <w:sz w:val="24"/>
          <w:szCs w:val="24"/>
          <w:vertAlign w:val="superscript"/>
          <w:lang w:eastAsia="en-US"/>
        </w:rPr>
        <w:t>1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/4 gdy dla nauczyciela ustalono czterodniowy tydzień pracy, za każdy dzień usprawiedliwionej nieobecności w pracy lub dzień ustawowo wolny od pracy. Liczba godzin ponadwymiarowych, za które przysługuje wynagrodzenie w takim tygodniu, nie może być jednak większa niż liczba godzin przydzielonych w planie organizacyjnym.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5. Nauczycielom, którzy w dniu wolnym od pracy realizują zajęcia dydaktyczne, wychowawcze lub opiekuńcze, a nie otrzymują za ten dzień innego dnia wolnego, przysługuje odrębne wynagrodzenie za każdą godzinę pracy obliczane jak za godzinę ponadwymiarową.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6. </w:t>
      </w:r>
      <w:r>
        <w:rPr>
          <w:rFonts w:cs="Times New Roman" w:ascii="Times New Roman" w:hAnsi="Times New Roman"/>
          <w:sz w:val="24"/>
          <w:szCs w:val="24"/>
        </w:rPr>
        <w:t>Wypłata dodatku przypada w terminie uregulowanym w art. 39 ust. 3 i 4 Karty Nauczyciela.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§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8.</w:t>
      </w: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 Nagrody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1. Nauczycielowi może być przyznana nagroda ze specjalnego funduszu nagród po przepracowaniu w szkole, co najmniej roku.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2. Środki na nagrody w ramach specjalnego funduszu nagród dla nauczycieli w wysokości, co najmniej 1 % planowanych rocznych wynagrodzeń osobowych nauczycieli planuje dyrektor w rocznym planie finansowym szkoły, z tym, że:</w:t>
      </w:r>
    </w:p>
    <w:p>
      <w:pPr>
        <w:pStyle w:val="Normal"/>
        <w:tabs>
          <w:tab w:val="clear" w:pos="708"/>
          <w:tab w:val="left" w:pos="563" w:leader="none"/>
        </w:tabs>
        <w:spacing w:before="0" w:after="0"/>
        <w:ind w:hanging="0" w:left="284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a)</w:t>
        <w:tab/>
        <w:t>80 % środków funduszu przeznacza się na nagrody dyrektora,</w:t>
      </w:r>
    </w:p>
    <w:p>
      <w:pPr>
        <w:pStyle w:val="Normal"/>
        <w:tabs>
          <w:tab w:val="clear" w:pos="708"/>
          <w:tab w:val="left" w:pos="563" w:leader="none"/>
        </w:tabs>
        <w:spacing w:before="0" w:after="0"/>
        <w:ind w:hanging="0" w:left="284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b)</w:t>
        <w:tab/>
        <w:t>20 % środków funduszu przeznacza się na nagrody Wójta Gminy Braniewo.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3. Nagrody ze specjalnego funduszu nagród mają charakter uznaniowy.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Przyznanie</w:t>
      </w: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 xml:space="preserve">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nauczycielowi nagrody uzależnione jest w szczególności od osiągnięć w zakresie pracy</w:t>
      </w: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 xml:space="preserve">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dydaktyczno-wychowawczej, pracy opiekuńczo-wychowawczej oraz realizacji innych 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zadań statutowych szkoły.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4. Nagrody nauczycielom przyznają: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567" w:left="567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 xml:space="preserve">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a)</w:t>
        <w:tab/>
        <w:t>ze środków, o których mowa w ust. 2 pkt 1 - dyrektor, po zasięgnięciu opinii Rady Rodziców,</w:t>
      </w:r>
    </w:p>
    <w:p>
      <w:pPr>
        <w:pStyle w:val="Normal"/>
        <w:tabs>
          <w:tab w:val="clear" w:pos="708"/>
          <w:tab w:val="left" w:pos="680" w:leader="none"/>
        </w:tabs>
        <w:spacing w:before="0" w:after="0"/>
        <w:ind w:hanging="567" w:left="567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n-US"/>
        </w:rPr>
        <w:t xml:space="preserve">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b) ze środków, o których mowa w ust 2 pkt 2 - Wójt Gminy Braniewo, spośród kandydatów zgłoszonych przez dyrektora.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5. Nagrody ze specjalnego funduszu nagród przyznawane są w Dniu Edukacji Narodowej. </w:t>
      </w:r>
    </w:p>
    <w:p>
      <w:pPr>
        <w:pStyle w:val="Normal"/>
        <w:spacing w:before="0" w:after="0"/>
        <w:ind w:hanging="284" w:left="284" w:right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6. Tryb i kryteria przyznawania nagród ze specjalnego funduszu nagród reguluje Uchwała Rady Gminy Braniewo Nr 3/IV/2005r z dnia 3 lutego 2005r. </w:t>
      </w:r>
    </w:p>
    <w:p>
      <w:pPr>
        <w:pStyle w:val="Normal"/>
        <w:spacing w:before="0" w:after="0"/>
        <w:ind w:hanging="284" w:left="284" w:right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Tabela dodatków funkcyjnych</w:t>
      </w: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0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5380"/>
        <w:gridCol w:w="3054"/>
      </w:tblGrid>
      <w:tr>
        <w:trPr/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Kwota dodatku w złotych</w:t>
            </w:r>
          </w:p>
        </w:tc>
      </w:tr>
      <w:tr>
        <w:trPr/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Szkoła Podstawowa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a) Dyrektor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od 600 – do 1600</w:t>
            </w:r>
          </w:p>
        </w:tc>
      </w:tr>
      <w:tr>
        <w:trPr/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b) Wicedyrektor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od 700 – do 1000</w:t>
            </w:r>
          </w:p>
        </w:tc>
      </w:tr>
      <w:tr>
        <w:trPr/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Opiekun stażu/mentor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Wychowawca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a) klasy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300</w:t>
            </w:r>
          </w:p>
        </w:tc>
      </w:tr>
      <w:tr>
        <w:trPr/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b) w oddziałach przedszkolnych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300</w:t>
            </w:r>
          </w:p>
        </w:tc>
      </w:tr>
      <w:tr>
        <w:trPr/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Zawartotabeli"/>
              <w:suppressLineNumbers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Doradca metodyczny, nauczyciel konsultant niekorzystający ze zniżki godzin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Zawartotabeli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Cs/>
          <w:sz w:val="22"/>
          <w:szCs w:val="22"/>
          <w:lang w:eastAsia="en-US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Cs/>
          <w:sz w:val="22"/>
          <w:szCs w:val="22"/>
          <w:lang w:eastAsia="en-US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Cs/>
          <w:sz w:val="22"/>
          <w:szCs w:val="22"/>
          <w:lang w:eastAsia="en-US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Cs/>
          <w:sz w:val="22"/>
          <w:szCs w:val="22"/>
          <w:lang w:eastAsia="en-US"/>
        </w:rPr>
      </w:r>
    </w:p>
    <w:p>
      <w:pPr>
        <w:pStyle w:val="Normal"/>
        <w:widowControl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0000"/>
          <w:lang w:eastAsia="pl-PL"/>
        </w:rPr>
      </w:pPr>
      <w:r>
        <w:rPr>
          <w:rFonts w:cs="Times New Roman" w:ascii="Times New Roman" w:hAnsi="Times New Roman"/>
          <w:b/>
          <w:bCs/>
          <w:color w:val="FF0000"/>
          <w:lang w:eastAsia="pl-PL"/>
        </w:rPr>
        <w:t xml:space="preserve">                                                         </w:t>
      </w:r>
    </w:p>
    <w:sectPr>
      <w:type w:val="nextPage"/>
      <w:pgSz w:w="12240" w:h="15840"/>
      <w:pgMar w:left="1418" w:right="1418" w:gutter="0" w:header="0" w:top="675" w:footer="0" w:bottom="1427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">
    <w:charset w:val="ee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)"/>
      <w:lvlJc w:val="left"/>
      <w:pPr>
        <w:tabs>
          <w:tab w:val="num" w:pos="283"/>
        </w:tabs>
        <w:ind w:left="283" w:hanging="283"/>
      </w:pPr>
      <w:rPr/>
    </w:lvl>
    <w:lvl w:ilvl="1">
      <w:start w:val="1"/>
      <w:isLgl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isLgl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isLgl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isLgl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isLgl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isLgl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isLgl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isLgl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abstractNum w:abstractNumId="3">
    <w:lvl w:ilvl="0">
      <w:start w:val="1"/>
      <w:isLgl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isplayBackgroundShape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zh-CN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BodyText"/>
    <w:link w:val="Heading3Char"/>
    <w:qFormat/>
    <w:pPr>
      <w:numPr>
        <w:ilvl w:val="2"/>
        <w:numId w:val="1"/>
      </w:numPr>
      <w:spacing w:lineRule="auto" w:line="240" w:before="280" w:after="280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  <w:color w:val="243F60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Domylnaczcionkaakapitu">
    <w:name w:val="Domyślna czcionka akapitu"/>
    <w:qFormat/>
    <w:rPr/>
  </w:style>
  <w:style w:type="character" w:styleId="WW8Num3z1">
    <w:name w:val="WW8Num3z1"/>
    <w:qFormat/>
    <w:rPr>
      <w:rFonts w:ascii="Times New Roman" w:hAnsi="Times New Roman" w:cs="Times New Roman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ahoma" w:hAnsi="Tahoma" w:cs="Tahom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Domylnaczcionkaakapitu1">
    <w:name w:val="Domyślna czcionka akapitu1"/>
    <w:qFormat/>
    <w:rPr/>
  </w:style>
  <w:style w:type="character" w:styleId="Nagwek3Znak">
    <w:name w:val="Nagłówek 3 Znak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key1">
    <w:name w:val="key1"/>
    <w:qFormat/>
    <w:rPr>
      <w:b w:val="false"/>
      <w:bCs w:val="false"/>
      <w:color w:val="333333"/>
      <w:u w:val="single"/>
    </w:rPr>
  </w:style>
  <w:style w:type="character" w:styleId="TekstpodstawowyZnak">
    <w:name w:val="Tekst podstawowy Znak"/>
    <w:qFormat/>
    <w:rPr>
      <w:rFonts w:ascii="Times New Roman" w:hAnsi="Times New Roman" w:eastAsia="Arial Unicode MS" w:cs="Tahoma"/>
      <w:color w:val="000000"/>
      <w:sz w:val="24"/>
      <w:szCs w:val="24"/>
      <w:lang w:val="en-US" w:bidi="en-US"/>
    </w:rPr>
  </w:style>
  <w:style w:type="character" w:styleId="Nagwek1Znak">
    <w:name w:val="Nagłówek 1 Znak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Nagwek2Znak">
    <w:name w:val="Nagłówek 2 Znak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Mocnowyrniony">
    <w:name w:val="Mocno wyróżniony"/>
    <w:qFormat/>
    <w:rPr>
      <w:b/>
      <w:bCs/>
    </w:rPr>
  </w:style>
  <w:style w:type="character" w:styleId="Nagwek4Znak">
    <w:name w:val="Nagłówek 4 Znak"/>
    <w:qFormat/>
    <w:rPr>
      <w:rFonts w:ascii="Cambria" w:hAnsi="Cambria" w:eastAsia="Times New Roman" w:cs="Times New Roman"/>
      <w:b/>
      <w:bCs/>
      <w:i/>
      <w:iCs/>
      <w:color w:val="4F81BD"/>
    </w:rPr>
  </w:style>
  <w:style w:type="character" w:styleId="Nagwek5Znak">
    <w:name w:val="Nagłówek 5 Znak"/>
    <w:qFormat/>
    <w:rPr>
      <w:rFonts w:ascii="Cambria" w:hAnsi="Cambria" w:eastAsia="Times New Roman" w:cs="Times New Roman"/>
      <w:color w:val="243F60"/>
    </w:rPr>
  </w:style>
  <w:style w:type="character" w:styleId="Nagwek6Znak">
    <w:name w:val="Nagłówek 6 Znak"/>
    <w:qFormat/>
    <w:rPr>
      <w:rFonts w:ascii="Cambria" w:hAnsi="Cambria" w:eastAsia="Times New Roman" w:cs="Times New Roman"/>
      <w:i/>
      <w:iCs/>
      <w:color w:val="243F60"/>
    </w:rPr>
  </w:style>
  <w:style w:type="character" w:styleId="Tekstpodstawowy2Znak">
    <w:name w:val="Tekst podstawowy 2 Znak"/>
    <w:basedOn w:val="Domylnaczcionkaakapitu1"/>
    <w:qFormat/>
    <w:rPr/>
  </w:style>
  <w:style w:type="character" w:styleId="TekstprzypisukocowegoZnak">
    <w:name w:val="Tekst przypisu końcowego Znak"/>
    <w:qFormat/>
    <w:rPr>
      <w:sz w:val="20"/>
      <w:szCs w:val="20"/>
    </w:rPr>
  </w:style>
  <w:style w:type="character" w:styleId="TekstpodstawowywcityZnak">
    <w:name w:val="Tekst podstawowy wcięty Znak"/>
    <w:basedOn w:val="Domylnaczcionkaakapitu1"/>
    <w:qFormat/>
    <w:rPr/>
  </w:style>
  <w:style w:type="character" w:styleId="PodtytuZnak">
    <w:name w:val="Podtytuł Znak"/>
    <w:qFormat/>
    <w:rPr>
      <w:rFonts w:ascii="Arial" w:hAnsi="Arial" w:eastAsia="MS Mincho" w:cs="Tahoma"/>
      <w:i/>
      <w:iCs/>
      <w:sz w:val="28"/>
      <w:szCs w:val="28"/>
    </w:rPr>
  </w:style>
  <w:style w:type="character" w:styleId="TytuZnak">
    <w:name w:val="Tytuł Znak"/>
    <w:qFormat/>
    <w:rPr>
      <w:rFonts w:ascii="Verdana" w:hAnsi="Verdana" w:eastAsia="Arial Unicode MS" w:cs="Times New Roman"/>
      <w:b/>
      <w:bCs/>
      <w:sz w:val="24"/>
      <w:szCs w:val="16"/>
      <w:shd w:fill="FFFFFF" w:val="clear"/>
    </w:rPr>
  </w:style>
  <w:style w:type="character" w:styleId="Tekstpodstawowywcity2Znak">
    <w:name w:val="Tekst podstawowy wcięty 2 Znak"/>
    <w:basedOn w:val="Domylnaczcionkaakapitu1"/>
    <w:qFormat/>
    <w:rPr/>
  </w:style>
  <w:style w:type="character" w:styleId="Tekstpodstawowywcity3Znak">
    <w:name w:val="Tekst podstawowy wcięty 3 Znak"/>
    <w:qFormat/>
    <w:rPr>
      <w:sz w:val="16"/>
      <w:szCs w:val="16"/>
    </w:rPr>
  </w:style>
  <w:style w:type="character" w:styleId="NagwekZnak">
    <w:name w:val="Nagłówek Znak"/>
    <w:qFormat/>
    <w:rPr>
      <w:rFonts w:eastAsia="Times New Roman"/>
    </w:rPr>
  </w:style>
  <w:style w:type="character" w:styleId="StopkaZnak">
    <w:name w:val="Stopka Znak"/>
    <w:qFormat/>
    <w:rPr>
      <w:rFonts w:eastAsia="Times New Roman"/>
    </w:rPr>
  </w:style>
  <w:style w:type="character" w:styleId="Tekstpodstawowy3Znak">
    <w:name w:val="Tekst podstawowy 3 Znak"/>
    <w:qFormat/>
    <w:rPr>
      <w:rFonts w:eastAsia="Times New Roman"/>
      <w:sz w:val="16"/>
      <w:szCs w:val="16"/>
    </w:rPr>
  </w:style>
  <w:style w:type="character" w:styleId="Absatz-Standardschriftart">
    <w:name w:val="Absatz-Standardschriftart"/>
    <w:qFormat/>
    <w:rPr/>
  </w:style>
  <w:style w:type="character" w:styleId="Odwoaniedokomentarza1">
    <w:name w:val="Odwołanie do komentarza1"/>
    <w:qFormat/>
    <w:rPr>
      <w:sz w:val="16"/>
      <w:szCs w:val="16"/>
    </w:rPr>
  </w:style>
  <w:style w:type="character" w:styleId="TekstkomentarzaZnak">
    <w:name w:val="Tekst komentarza Znak"/>
    <w:qFormat/>
    <w:rPr>
      <w:rFonts w:eastAsia="Times New Roman"/>
    </w:rPr>
  </w:style>
  <w:style w:type="character" w:styleId="TematkomentarzaZnak">
    <w:name w:val="Temat komentarza Znak"/>
    <w:qFormat/>
    <w:rPr>
      <w:rFonts w:eastAsia="Times New Roman"/>
      <w:b/>
      <w:bCs/>
    </w:rPr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widowControl w:val="false"/>
      <w:spacing w:lineRule="auto" w:line="240" w:before="0" w:after="283"/>
    </w:pPr>
    <w:rPr>
      <w:rFonts w:ascii="Times New Roman" w:hAnsi="Times New Roman" w:eastAsia="Arial Unicode MS" w:cs="Tahoma"/>
      <w:color w:val="000000"/>
      <w:sz w:val="24"/>
      <w:szCs w:val="24"/>
      <w:lang w:val="en-US" w:bidi="en-US"/>
    </w:rPr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BodyText"/>
    <w:link w:val="SubtitleChar"/>
    <w:qFormat/>
    <w:pPr>
      <w:keepNext w:val="true"/>
      <w:widowControl w:val="false"/>
      <w:spacing w:lineRule="auto" w:line="240" w:before="240" w:after="120"/>
      <w:jc w:val="center"/>
    </w:pPr>
    <w:rPr>
      <w:rFonts w:ascii="Arial" w:hAnsi="Arial" w:eastAsia="MS Mincho" w:cs="Arial"/>
      <w:i/>
      <w:iCs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HeaderChar"/>
    <w:qFormat/>
    <w:pPr>
      <w:spacing w:lineRule="auto" w:line="240" w:before="0" w:after="0"/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qFormat/>
    <w:pPr>
      <w:spacing w:lineRule="auto" w:line="240" w:before="0" w:after="0"/>
    </w:pPr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qFormat/>
    <w:pPr>
      <w:spacing w:lineRule="auto" w:line="240" w:before="0" w:after="0"/>
    </w:pPr>
    <w:rPr>
      <w:rFonts w:eastAsia="Calibri"/>
      <w:sz w:val="20"/>
      <w:szCs w:val="20"/>
      <w:lang w:val="en-US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agwek1">
    <w:name w:val="Nagłówek1"/>
    <w:basedOn w:val="Normal"/>
    <w:next w:val="Subtitle"/>
    <w:qFormat/>
    <w:pPr>
      <w:widowControl w:val="false"/>
      <w:shd w:val="clear" w:color="auto" w:fill="FFFFFF"/>
      <w:spacing w:lineRule="auto" w:line="240" w:before="0" w:after="0"/>
      <w:ind w:hanging="0" w:left="0" w:right="244"/>
      <w:jc w:val="center"/>
    </w:pPr>
    <w:rPr>
      <w:rFonts w:ascii="Verdana" w:hAnsi="Verdana" w:eastAsia="Arial Unicode MS" w:cs="Verdana"/>
      <w:b/>
      <w:bCs/>
      <w:sz w:val="24"/>
      <w:szCs w:val="16"/>
      <w:lang w:val="en-US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Akapit z listą"/>
    <w:basedOn w:val="Normal"/>
    <w:qFormat/>
    <w:pPr>
      <w:spacing w:before="0" w:after="200"/>
      <w:ind w:hanging="0" w:left="720" w:right="0"/>
      <w:contextualSpacing/>
    </w:pPr>
    <w:rPr/>
  </w:style>
  <w:style w:type="paragraph" w:styleId="NormalnyWeb">
    <w:name w:val="Normalny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eastAsia="Calibri" w:cs="Tahoma"/>
      <w:sz w:val="16"/>
      <w:szCs w:val="16"/>
      <w:lang w:val="en-US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ekstpodstawowy22">
    <w:name w:val="Tekst podstawowy 22"/>
    <w:basedOn w:val="Normal"/>
    <w:qFormat/>
    <w:pPr>
      <w:spacing w:lineRule="auto" w:line="480" w:before="0" w:after="120"/>
    </w:pPr>
    <w:rPr/>
  </w:style>
  <w:style w:type="paragraph" w:styleId="BodyTextIndent">
    <w:name w:val="Body Text Indent"/>
    <w:basedOn w:val="Normal"/>
    <w:qFormat/>
    <w:pPr>
      <w:spacing w:before="0" w:after="120"/>
      <w:ind w:hanging="0" w:left="283" w:right="0"/>
    </w:pPr>
    <w:rPr/>
  </w:style>
  <w:style w:type="paragraph" w:styleId="WW-Domylnie">
    <w:name w:val="WW-Domyślni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zh-CN" w:bidi="ar-SA"/>
    </w:rPr>
  </w:style>
  <w:style w:type="paragraph" w:styleId="Tekstpodstawowywcity21">
    <w:name w:val="Tekst podstawowy wcięty 21"/>
    <w:basedOn w:val="Normal"/>
    <w:qFormat/>
    <w:pPr>
      <w:spacing w:lineRule="auto" w:line="480" w:before="0" w:after="120"/>
      <w:ind w:hanging="0" w:left="283" w:right="0"/>
    </w:pPr>
    <w:rPr/>
  </w:style>
  <w:style w:type="paragraph" w:styleId="Tekstpodstawowywcity31">
    <w:name w:val="Tekst podstawowy wcięty 31"/>
    <w:basedOn w:val="Normal"/>
    <w:qFormat/>
    <w:pPr>
      <w:spacing w:before="0" w:after="120"/>
      <w:ind w:hanging="0" w:left="283" w:right="0"/>
    </w:pPr>
    <w:rPr>
      <w:rFonts w:eastAsia="Calibri"/>
      <w:sz w:val="16"/>
      <w:szCs w:val="16"/>
      <w:lang w:val="en-US"/>
    </w:rPr>
  </w:style>
  <w:style w:type="paragraph" w:styleId="Tekstpodstawowy21">
    <w:name w:val="Tekst podstawowy 21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zh-CN" w:bidi="ar-SA"/>
    </w:rPr>
  </w:style>
  <w:style w:type="paragraph" w:styleId="Tekstpodstawowy31">
    <w:name w:val="Tekst podstawowy 31"/>
    <w:basedOn w:val="Normal"/>
    <w:qFormat/>
    <w:pPr>
      <w:spacing w:before="0" w:after="120"/>
    </w:pPr>
    <w:rPr>
      <w:sz w:val="16"/>
      <w:szCs w:val="16"/>
      <w:lang w:val="en-US"/>
    </w:rPr>
  </w:style>
  <w:style w:type="paragraph" w:styleId="zalecenie">
    <w:name w:val="zalecenie"/>
    <w:basedOn w:val="Normal"/>
    <w:qFormat/>
    <w:pPr>
      <w:spacing w:lineRule="atLeast" w:line="340" w:before="0" w:after="0"/>
      <w:ind w:firstLine="873" w:left="567" w:right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tytul">
    <w:name w:val="tytul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rial Unicode MS" w:cs="Times New Roman"/>
      <w:sz w:val="45"/>
      <w:szCs w:val="45"/>
    </w:rPr>
  </w:style>
  <w:style w:type="paragraph" w:styleId="Tekstkomentarza1">
    <w:name w:val="Tekst komentarza1"/>
    <w:basedOn w:val="Normal"/>
    <w:qFormat/>
    <w:pPr/>
    <w:rPr>
      <w:sz w:val="20"/>
      <w:szCs w:val="20"/>
      <w:lang w:val="en-US"/>
    </w:rPr>
  </w:style>
  <w:style w:type="paragraph" w:styleId="Tematkomentarza">
    <w:name w:val="Temat komentarza"/>
    <w:basedOn w:val="Tekstkomentarza1"/>
    <w:next w:val="Tekstkomentarza1"/>
    <w:qFormat/>
    <w:pPr/>
    <w:rPr>
      <w:b/>
      <w:bCs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abelauser">
    <w:name w:val="Tabela (user)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styleId="703">
    <w:name w:val="Table Grid"/>
    <w:basedOn w:val="8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Table Grid Light"/>
    <w:basedOn w:val="89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Plain Table 1"/>
    <w:basedOn w:val="89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Plain Table 2"/>
    <w:basedOn w:val="8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3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4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5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6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7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8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9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46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47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48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49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50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51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52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8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89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0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1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2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3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94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02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03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04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05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06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07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08">
    <w:name w:val="Lined - Accent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ned - Accent 1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ned - Accent 2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ned - Accent 3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ned - Accent 4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ned - Accent 5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ned - Accent 6"/>
    <w:basedOn w:val="8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Bordered &amp; Lined - Accent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Bordered &amp; Lined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Bordered &amp; Lined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Bordered &amp; Lined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Bordered &amp; Lined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Bordered &amp; Lined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Bordered &amp; Lined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90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LibreOffice/24.8.6.2$Windows_X86_64 LibreOffice_project/6d98ba145e9a8a39fc57bcc76981d1fb1316c60c</Application>
  <AppVersion>15.0000</AppVersion>
  <Pages>7</Pages>
  <Words>2148</Words>
  <Characters>13457</Characters>
  <CharactersWithSpaces>15769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2016-10-04T06:37:00Z</dcterms:created>
  <dc:creator>ugp</dc:creator>
  <dc:description/>
  <dc:language>pl-PL</dc:language>
  <cp:lastModifiedBy/>
  <cp:lastPrinted>2025-05-06T08:25:12Z</cp:lastPrinted>
  <dcterms:modified xsi:type="dcterms:W3CDTF">2025-05-19T14:29:49Z</dcterms:modified>
  <cp:revision>19</cp:revision>
  <dc:subject/>
  <dc:title>PROJEKT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