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891"/>
        <w:pBdr/>
        <w:spacing w:after="0" w:before="0" w:line="240" w:lineRule="auto"/>
        <w:ind/>
        <w:rPr/>
      </w:pPr>
      <w:r>
        <w:rPr>
          <w:rFonts w:ascii="Times New Roman" w:hAnsi="Times New Roman" w:eastAsia="Times New Roman" w:cs="Times New Roman"/>
          <w:b/>
          <w:bCs/>
          <w:color w:val="ff3333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3333"/>
          <w:lang w:eastAsia="pl-PL"/>
        </w:rPr>
        <w:t xml:space="preserve">RADA GMINY</w:t>
      </w:r>
      <w:r/>
    </w:p>
    <w:p>
      <w:pPr>
        <w:pStyle w:val="891"/>
        <w:pBdr/>
        <w:spacing w:after="0" w:before="0" w:line="240" w:lineRule="auto"/>
        <w:ind/>
        <w:rPr>
          <w:b/>
          <w:bCs/>
        </w:rPr>
      </w:pPr>
      <w:r>
        <w:rPr>
          <w:rFonts w:eastAsia="Times New Roman"/>
          <w:b/>
          <w:bCs/>
          <w:color w:val="ff3333"/>
          <w:lang w:eastAsia="pl-PL"/>
        </w:rPr>
        <w:t xml:space="preserve">   </w:t>
      </w:r>
      <w:r>
        <w:rPr>
          <w:rFonts w:ascii="Times New Roman" w:hAnsi="Times New Roman" w:eastAsia="Times New Roman"/>
          <w:b/>
          <w:bCs/>
          <w:color w:val="ff3333"/>
          <w:lang w:eastAsia="pl-PL"/>
        </w:rPr>
        <w:t xml:space="preserve">BRANIEWO</w:t>
      </w:r>
      <w:r>
        <w:rPr>
          <w:b/>
          <w:bCs/>
        </w:rPr>
      </w:r>
      <w:r>
        <w:rPr>
          <w:b/>
          <w:bCs/>
        </w:rPr>
      </w:r>
    </w:p>
    <w:p>
      <w:pPr>
        <w:pStyle w:val="891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891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UCHWAŁA NR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/IX/2026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891"/>
        <w:pBdr/>
        <w:spacing w:after="0" w:before="0" w:line="252" w:lineRule="auto"/>
        <w: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RADY GMINY BRANIEWO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Style w:val="891"/>
        <w:pBdr/>
        <w:spacing w:after="0" w:before="0" w:line="252" w:lineRule="auto"/>
        <w:ind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  <w:t xml:space="preserve">Z DNIA 30 STYCZNIA 2026 ROKU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</w:r>
    </w:p>
    <w:p>
      <w:pPr>
        <w:pStyle w:val="891"/>
        <w:pBdr/>
        <w:spacing w:after="0" w:before="0" w:line="252" w:lineRule="auto"/>
        <w:ind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en-US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 w:cs="Calibri"/>
          <w:b/>
        </w:rPr>
        <w:t xml:space="preserve">w sprawie dążenia do podniesienia świadomości mieszkańców Gminy Braniewo                             w zakresie specyfiki zamieszkiwania na obszarach wiejskich, na których prowadzona jest            działalność rolnicza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 w:cs="Calibri" w:cstheme="minorHAnsi"/>
        </w:rPr>
        <w:t xml:space="preserve">Na podstawie art.18 ust.1 w związku z art. 6 ust.1 ustawy z dnia 8 marca 1990 r. o samorządzie gminnym ( tj. Dz. U. z 2025 r., poz.1153), Rada Gminy Braniewo, uchwala co następuje: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1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 w:cs="Calibri" w:cstheme="minorHAnsi"/>
          <w:b/>
          <w:bCs/>
        </w:rPr>
        <w:t xml:space="preserve">§ 1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 w:cs="Calibri" w:cstheme="minorHAnsi"/>
        </w:rPr>
        <w:t xml:space="preserve">Rada Gminy Braniewo wyraża intencję podejmowania działań zmierzających do podniesienia świadomości mieszkańców Gminy w zakresie specyfiki zamieszkiwania na obszarach wiejskich, na których prowadzona jest działalność rolnicza.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1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 w:cs="Calibri" w:cstheme="minorHAnsi"/>
          <w:b/>
          <w:bCs/>
        </w:rPr>
        <w:t xml:space="preserve">§ 2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1"/>
        <w:pBdr/>
        <w:spacing w:after="0" w:before="0"/>
        <w:ind/>
        <w:jc w:val="both"/>
        <w:rPr/>
      </w:pPr>
      <w:r>
        <w:rPr>
          <w:rFonts w:ascii="Times New Roman" w:hAnsi="Times New Roman" w:cs="Calibri" w:cstheme="minorHAnsi"/>
        </w:rPr>
        <w:t xml:space="preserve">Działania, o których mowa w § 1, w szczególności obejmują:</w:t>
      </w:r>
      <w:r/>
    </w:p>
    <w:p>
      <w:pPr>
        <w:pStyle w:val="891"/>
        <w:numPr>
          <w:ilvl w:val="0"/>
          <w:numId w:val="1"/>
        </w:numPr>
        <w:pBdr/>
        <w:spacing w:after="0" w:before="0"/>
        <w:ind/>
        <w:jc w:val="both"/>
        <w:rPr/>
      </w:pPr>
      <w:r>
        <w:rPr>
          <w:rFonts w:ascii="Times New Roman" w:hAnsi="Times New Roman" w:cs="Calibri" w:cstheme="minorHAnsi"/>
        </w:rPr>
        <w:t xml:space="preserve">informowanie mieszkańców o charakterystycznych cechach działalności rolniczej, w tym o:</w:t>
      </w:r>
      <w:r/>
    </w:p>
    <w:p>
      <w:pPr>
        <w:pStyle w:val="891"/>
        <w:numPr>
          <w:ilvl w:val="1"/>
          <w:numId w:val="1"/>
        </w:numPr>
        <w:pBdr/>
        <w:spacing w:after="0" w:before="0"/>
        <w:ind/>
        <w:jc w:val="both"/>
        <w:rPr/>
      </w:pPr>
      <w:r>
        <w:rPr>
          <w:rFonts w:ascii="Times New Roman" w:hAnsi="Times New Roman" w:cs="Calibri" w:cstheme="minorHAnsi"/>
        </w:rPr>
        <w:t xml:space="preserve">sezonowości prac polowych,</w:t>
      </w:r>
      <w:r/>
    </w:p>
    <w:p>
      <w:pPr>
        <w:pStyle w:val="891"/>
        <w:numPr>
          <w:ilvl w:val="1"/>
          <w:numId w:val="1"/>
        </w:numPr>
        <w:pBdr/>
        <w:spacing w:after="0" w:before="0"/>
        <w:ind/>
        <w:jc w:val="both"/>
        <w:rPr/>
      </w:pPr>
      <w:r>
        <w:rPr>
          <w:rFonts w:ascii="Times New Roman" w:hAnsi="Times New Roman" w:cs="Calibri" w:cstheme="minorHAnsi"/>
        </w:rPr>
        <w:t xml:space="preserve">występowaniu hałasu, zapachów oraz zwiększonego ruchu maszyn rolniczych,</w:t>
      </w:r>
      <w:r/>
    </w:p>
    <w:p>
      <w:pPr>
        <w:pStyle w:val="891"/>
        <w:numPr>
          <w:ilvl w:val="1"/>
          <w:numId w:val="1"/>
        </w:numPr>
        <w:pBdr/>
        <w:spacing w:after="0" w:before="0"/>
        <w:ind/>
        <w:jc w:val="both"/>
        <w:rPr/>
      </w:pPr>
      <w:r>
        <w:rPr>
          <w:rFonts w:ascii="Times New Roman" w:hAnsi="Times New Roman" w:cs="Calibri" w:cstheme="minorHAnsi"/>
        </w:rPr>
        <w:t xml:space="preserve">prowadzeniu prac w godzinach porannych, wieczornych oraz w dni wolne od pracy,</w:t>
      </w:r>
      <w:r/>
    </w:p>
    <w:p>
      <w:pPr>
        <w:pStyle w:val="891"/>
        <w:numPr>
          <w:ilvl w:val="1"/>
          <w:numId w:val="1"/>
        </w:numPr>
        <w:pBdr/>
        <w:spacing w:after="0" w:before="0"/>
        <w:ind/>
        <w:jc w:val="both"/>
        <w:rPr/>
      </w:pPr>
      <w:r>
        <w:rPr>
          <w:rFonts w:ascii="Times New Roman" w:hAnsi="Times New Roman" w:cs="Calibri" w:cstheme="minorHAnsi"/>
        </w:rPr>
        <w:t xml:space="preserve">naturalnych uwarunkowaniach środowiskowych związanych z produkcją rolną;</w:t>
      </w:r>
      <w:r/>
    </w:p>
    <w:p>
      <w:pPr>
        <w:pStyle w:val="891"/>
        <w:numPr>
          <w:ilvl w:val="0"/>
          <w:numId w:val="1"/>
        </w:numPr>
        <w:pBdr/>
        <w:spacing w:after="0" w:before="0"/>
        <w:ind/>
        <w:jc w:val="both"/>
        <w:rPr/>
      </w:pPr>
      <w:r>
        <w:rPr>
          <w:rFonts w:ascii="Times New Roman" w:hAnsi="Times New Roman" w:cs="Calibri" w:cstheme="minorHAnsi"/>
        </w:rPr>
        <w:t xml:space="preserve">promowanie postaw wzajemnego zrozumienia, poszanowania i dobrosąsiedzkich relacji pomiędzy mieszkańcami oraz osobami prowadzącymi działalność rolniczą;</w:t>
      </w:r>
      <w:r/>
    </w:p>
    <w:p>
      <w:pPr>
        <w:pStyle w:val="891"/>
        <w:numPr>
          <w:ilvl w:val="0"/>
          <w:numId w:val="1"/>
        </w:numPr>
        <w:pBdr/>
        <w:spacing w:after="0" w:before="0"/>
        <w:ind/>
        <w:jc w:val="both"/>
        <w:rPr/>
      </w:pPr>
      <w:r>
        <w:rPr>
          <w:rFonts w:ascii="Times New Roman" w:hAnsi="Times New Roman" w:cs="Calibri" w:cstheme="minorHAnsi"/>
        </w:rPr>
        <w:t xml:space="preserve">wspieranie inicjatyw edukacyjnych i informacyjnych dotyczących funkcjonowania obszarów wiejskich oraz roli rolnictwa w rozwoju Gminy.</w:t>
      </w:r>
      <w:r/>
    </w:p>
    <w:p>
      <w:pPr>
        <w:pStyle w:val="891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 w:cs="Calibri" w:cstheme="minorHAnsi"/>
          <w:b/>
          <w:bCs/>
        </w:rPr>
        <w:t xml:space="preserve">§ 3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 w:cs="Calibri" w:cstheme="minorHAnsi"/>
        </w:rPr>
        <w:t xml:space="preserve">Rada Gminy Braniewo podkreśla znaczenie działalności rolniczej jako istotnego elementu dziedzictwa kulturowego, gospodarczego i przestrzennego Gminy oraz wyraża wolę jej ochrony i harmonijnego współistnienia z funkcją mieszkaniową.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1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 w:cs="Calibri" w:cstheme="minorHAnsi"/>
          <w:b/>
          <w:bCs/>
        </w:rPr>
        <w:t xml:space="preserve">§ 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 w:cs="Calibri" w:cstheme="minorHAnsi"/>
        </w:rPr>
        <w:t xml:space="preserve">Wykonanie uchwały powierza się Wójtowi Gminy Braniewo oraz Przewodniczącemu Rady Gminy Braniewo.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1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 w:cs="Calibri" w:cstheme="minorHAnsi"/>
          <w:b/>
          <w:bCs/>
        </w:rPr>
        <w:t xml:space="preserve">§ 5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 w:cs="Calibri" w:cstheme="minorHAnsi"/>
        </w:rPr>
        <w:t xml:space="preserve">Uchwała ma charakter intencyjny i nie stanowi aktu prawa miejscowego.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1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 w:cs="Calibri" w:cstheme="minorHAnsi"/>
          <w:b/>
          <w:bCs/>
        </w:rPr>
        <w:t xml:space="preserve">§ 6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1"/>
        <w:pBdr/>
        <w:spacing/>
        <w:ind/>
        <w:jc w:val="both"/>
        <w:rPr>
          <w:rFonts w:ascii="Times New Roman" w:hAnsi="Times New Roman" w:cs="Calibri" w:cstheme="minorHAnsi"/>
        </w:rPr>
      </w:pPr>
      <w:r>
        <w:rPr>
          <w:rFonts w:ascii="Times New Roman" w:hAnsi="Times New Roman" w:cs="Calibri" w:cstheme="minorHAnsi"/>
        </w:rPr>
        <w:t xml:space="preserve">Uchwała wchodzi w życie z dniem podjęcia.</w:t>
      </w:r>
      <w:r>
        <w:rPr>
          <w:rFonts w:ascii="Times New Roman" w:hAnsi="Times New Roman" w:cs="Calibri" w:cstheme="minorHAnsi"/>
        </w:rPr>
      </w:r>
      <w:r>
        <w:rPr>
          <w:rFonts w:ascii="Times New Roman" w:hAnsi="Times New Roman" w:cs="Calibri" w:cstheme="minorHAnsi"/>
        </w:rPr>
      </w:r>
    </w:p>
    <w:p>
      <w:pPr>
        <w:pStyle w:val="891"/>
        <w:pBdr/>
        <w:spacing/>
        <w:ind/>
        <w:jc w:val="both"/>
        <w:rPr>
          <w:rFonts w:ascii="Times New Roman" w:hAnsi="Times New Roman" w:cs="Calibri" w:cstheme="minorHAnsi"/>
        </w:rPr>
      </w:pPr>
      <w:r>
        <w:rPr>
          <w:rFonts w:ascii="Times New Roman" w:hAnsi="Times New Roman" w:cs="Calibri" w:cstheme="minorHAnsi"/>
        </w:rPr>
      </w:r>
      <w:r>
        <w:rPr>
          <w:rFonts w:ascii="Times New Roman" w:hAnsi="Times New Roman" w:cs="Calibri" w:cstheme="minorHAnsi"/>
        </w:rPr>
      </w:r>
      <w:r>
        <w:rPr>
          <w:rFonts w:ascii="Times New Roman" w:hAnsi="Times New Roman" w:cs="Calibri" w:cstheme="minorHAnsi"/>
        </w:rPr>
      </w:r>
    </w:p>
    <w:sectPr>
      <w:footnotePr/>
      <w:endnotePr/>
      <w:type w:val="nextPage"/>
      <w:pgSz w:h="16838" w:orient="portrait" w:w="11906"/>
      <w:pgMar w:top="567" w:right="1417" w:bottom="1417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90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90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90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90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91"/>
    <w:next w:val="891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91"/>
    <w:next w:val="891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91"/>
    <w:next w:val="891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91"/>
    <w:next w:val="891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91"/>
    <w:next w:val="891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91"/>
    <w:next w:val="891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91"/>
    <w:next w:val="891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91"/>
    <w:next w:val="891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91"/>
    <w:next w:val="891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40" w:default="1">
    <w:name w:val="No List"/>
    <w:uiPriority w:val="99"/>
    <w:semiHidden/>
    <w:unhideWhenUsed/>
    <w:pPr>
      <w:pBdr/>
      <w:spacing/>
      <w:ind/>
    </w:pPr>
  </w:style>
  <w:style w:type="character" w:styleId="841">
    <w:name w:val="Heading 1 Char"/>
    <w:basedOn w:val="892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2">
    <w:name w:val="Heading 2 Char"/>
    <w:basedOn w:val="892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3">
    <w:name w:val="Heading 3 Char"/>
    <w:basedOn w:val="892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4">
    <w:name w:val="Heading 4 Char"/>
    <w:basedOn w:val="892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5">
    <w:name w:val="Heading 5 Char"/>
    <w:basedOn w:val="892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6">
    <w:name w:val="Heading 6 Char"/>
    <w:basedOn w:val="892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>
    <w:name w:val="Heading 7 Char"/>
    <w:basedOn w:val="892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>
    <w:name w:val="Heading 8 Char"/>
    <w:basedOn w:val="892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9 Char"/>
    <w:basedOn w:val="892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891"/>
    <w:next w:val="891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>
    <w:name w:val="Title Char"/>
    <w:basedOn w:val="892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891"/>
    <w:next w:val="891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>
    <w:name w:val="Subtitle Char"/>
    <w:basedOn w:val="892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91"/>
    <w:next w:val="891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92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6">
    <w:name w:val="List Paragraph"/>
    <w:basedOn w:val="891"/>
    <w:uiPriority w:val="34"/>
    <w:qFormat/>
    <w:pPr>
      <w:pBdr/>
      <w:spacing/>
      <w:ind w:left="720"/>
      <w:contextualSpacing w:val="true"/>
    </w:pPr>
  </w:style>
  <w:style w:type="character" w:styleId="857">
    <w:name w:val="Intense Emphasis"/>
    <w:basedOn w:val="8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91"/>
    <w:next w:val="891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892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8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1">
    <w:name w:val="No Spacing"/>
    <w:basedOn w:val="891"/>
    <w:uiPriority w:val="1"/>
    <w:qFormat/>
    <w:pPr>
      <w:pBdr/>
      <w:spacing w:after="0" w:line="240" w:lineRule="auto"/>
      <w:ind/>
    </w:pPr>
  </w:style>
  <w:style w:type="character" w:styleId="862">
    <w:name w:val="Subtle Emphasis"/>
    <w:basedOn w:val="8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92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892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8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89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>
    <w:name w:val="Header"/>
    <w:basedOn w:val="891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Header Char"/>
    <w:basedOn w:val="892"/>
    <w:link w:val="867"/>
    <w:uiPriority w:val="99"/>
    <w:pPr>
      <w:pBdr/>
      <w:spacing/>
      <w:ind/>
    </w:pPr>
  </w:style>
  <w:style w:type="paragraph" w:styleId="869">
    <w:name w:val="Footer"/>
    <w:basedOn w:val="891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Footer Char"/>
    <w:basedOn w:val="892"/>
    <w:link w:val="869"/>
    <w:uiPriority w:val="99"/>
    <w:pPr>
      <w:pBdr/>
      <w:spacing/>
      <w:ind/>
    </w:pPr>
  </w:style>
  <w:style w:type="paragraph" w:styleId="871">
    <w:name w:val="footnote text"/>
    <w:basedOn w:val="891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92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92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1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92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92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9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1"/>
    <w:next w:val="891"/>
    <w:uiPriority w:val="39"/>
    <w:unhideWhenUsed/>
    <w:pPr>
      <w:pBdr/>
      <w:spacing w:after="100"/>
      <w:ind/>
    </w:pPr>
  </w:style>
  <w:style w:type="paragraph" w:styleId="880">
    <w:name w:val="toc 2"/>
    <w:basedOn w:val="891"/>
    <w:next w:val="891"/>
    <w:uiPriority w:val="39"/>
    <w:unhideWhenUsed/>
    <w:pPr>
      <w:pBdr/>
      <w:spacing w:after="100"/>
      <w:ind w:left="220"/>
    </w:pPr>
  </w:style>
  <w:style w:type="paragraph" w:styleId="881">
    <w:name w:val="toc 3"/>
    <w:basedOn w:val="891"/>
    <w:next w:val="891"/>
    <w:uiPriority w:val="39"/>
    <w:unhideWhenUsed/>
    <w:pPr>
      <w:pBdr/>
      <w:spacing w:after="100"/>
      <w:ind w:left="440"/>
    </w:pPr>
  </w:style>
  <w:style w:type="paragraph" w:styleId="882">
    <w:name w:val="toc 4"/>
    <w:basedOn w:val="891"/>
    <w:next w:val="891"/>
    <w:uiPriority w:val="39"/>
    <w:unhideWhenUsed/>
    <w:pPr>
      <w:pBdr/>
      <w:spacing w:after="100"/>
      <w:ind w:left="660"/>
    </w:pPr>
  </w:style>
  <w:style w:type="paragraph" w:styleId="883">
    <w:name w:val="toc 5"/>
    <w:basedOn w:val="891"/>
    <w:next w:val="891"/>
    <w:uiPriority w:val="39"/>
    <w:unhideWhenUsed/>
    <w:pPr>
      <w:pBdr/>
      <w:spacing w:after="100"/>
      <w:ind w:left="880"/>
    </w:pPr>
  </w:style>
  <w:style w:type="paragraph" w:styleId="884">
    <w:name w:val="toc 6"/>
    <w:basedOn w:val="891"/>
    <w:next w:val="891"/>
    <w:uiPriority w:val="39"/>
    <w:unhideWhenUsed/>
    <w:pPr>
      <w:pBdr/>
      <w:spacing w:after="100"/>
      <w:ind w:left="1100"/>
    </w:pPr>
  </w:style>
  <w:style w:type="paragraph" w:styleId="885">
    <w:name w:val="toc 7"/>
    <w:basedOn w:val="891"/>
    <w:next w:val="891"/>
    <w:uiPriority w:val="39"/>
    <w:unhideWhenUsed/>
    <w:pPr>
      <w:pBdr/>
      <w:spacing w:after="100"/>
      <w:ind w:left="1320"/>
    </w:pPr>
  </w:style>
  <w:style w:type="paragraph" w:styleId="886">
    <w:name w:val="toc 8"/>
    <w:basedOn w:val="891"/>
    <w:next w:val="891"/>
    <w:uiPriority w:val="39"/>
    <w:unhideWhenUsed/>
    <w:pPr>
      <w:pBdr/>
      <w:spacing w:after="100"/>
      <w:ind w:left="1540"/>
    </w:pPr>
  </w:style>
  <w:style w:type="paragraph" w:styleId="887">
    <w:name w:val="toc 9"/>
    <w:basedOn w:val="891"/>
    <w:next w:val="891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92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1"/>
    <w:next w:val="891"/>
    <w:uiPriority w:val="99"/>
    <w:unhideWhenUsed/>
    <w:pPr>
      <w:pBdr/>
      <w:spacing w:after="0" w:afterAutospacing="0"/>
      <w:ind/>
    </w:pPr>
  </w:style>
  <w:style w:type="paragraph" w:styleId="891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character" w:styleId="89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93" w:customStyle="1">
    <w:name w:val="Tekst dymka Znak"/>
    <w:basedOn w:val="892"/>
    <w:link w:val="903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94">
    <w:name w:val="Znaki numeracji"/>
    <w:qFormat/>
    <w:pPr>
      <w:pBdr/>
      <w:spacing/>
      <w:ind/>
    </w:pPr>
  </w:style>
  <w:style w:type="character" w:styleId="895">
    <w:name w:val="Znaki numeracji (user)"/>
    <w:qFormat/>
    <w:pPr>
      <w:pBdr/>
      <w:spacing/>
      <w:ind/>
    </w:pPr>
  </w:style>
  <w:style w:type="paragraph" w:styleId="896">
    <w:name w:val="Nagłówek"/>
    <w:basedOn w:val="891"/>
    <w:next w:val="89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7">
    <w:name w:val="Body Text"/>
    <w:basedOn w:val="891"/>
    <w:pPr>
      <w:pBdr/>
      <w:spacing w:after="140" w:before="0" w:line="276" w:lineRule="auto"/>
      <w:ind/>
    </w:pPr>
  </w:style>
  <w:style w:type="paragraph" w:styleId="898">
    <w:name w:val="List"/>
    <w:basedOn w:val="897"/>
    <w:pPr>
      <w:pBdr/>
      <w:spacing/>
      <w:ind/>
    </w:pPr>
    <w:rPr>
      <w:rFonts w:cs="Arial"/>
    </w:rPr>
  </w:style>
  <w:style w:type="paragraph" w:styleId="899">
    <w:name w:val="Caption"/>
    <w:basedOn w:val="891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00">
    <w:name w:val="Indeks"/>
    <w:basedOn w:val="891"/>
    <w:qFormat/>
    <w:pPr>
      <w:suppressLineNumbers w:val="true"/>
      <w:pBdr/>
      <w:spacing/>
      <w:ind/>
    </w:pPr>
    <w:rPr>
      <w:rFonts w:cs="Arial"/>
    </w:rPr>
  </w:style>
  <w:style w:type="paragraph" w:styleId="901">
    <w:name w:val="Nagłówek (user)"/>
    <w:basedOn w:val="891"/>
    <w:next w:val="89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02">
    <w:name w:val="Indeks (user)"/>
    <w:basedOn w:val="891"/>
    <w:qFormat/>
    <w:pPr>
      <w:suppressLineNumbers w:val="true"/>
      <w:pBdr/>
      <w:spacing/>
      <w:ind/>
    </w:pPr>
    <w:rPr>
      <w:rFonts w:cs="Arial"/>
    </w:rPr>
  </w:style>
  <w:style w:type="paragraph" w:styleId="903">
    <w:name w:val="Balloon Text"/>
    <w:basedOn w:val="891"/>
    <w:link w:val="893"/>
    <w:uiPriority w:val="99"/>
    <w:semiHidden/>
    <w:unhideWhenUsed/>
    <w:qFormat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numbering" w:styleId="904">
    <w:name w:val="Bez listy (user)"/>
    <w:uiPriority w:val="99"/>
    <w:semiHidden/>
    <w:unhideWhenUsed/>
    <w:qFormat/>
    <w:pPr>
      <w:pBdr/>
      <w:spacing/>
      <w:ind/>
    </w:pPr>
  </w:style>
  <w:style w:type="numbering" w:styleId="905">
    <w:name w:val="Bez listy"/>
    <w:qFormat/>
    <w:pPr>
      <w:pBdr/>
      <w:spacing/>
      <w:ind/>
    </w:pPr>
  </w:style>
  <w:style w:type="table" w:styleId="906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  <Company>WMIROL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pl-PL</dc:language>
  <cp:revision>12</cp:revision>
  <dcterms:created xsi:type="dcterms:W3CDTF">2026-01-15T12:15:00Z</dcterms:created>
  <dcterms:modified xsi:type="dcterms:W3CDTF">2026-01-22T09:55:03Z</dcterms:modified>
</cp:coreProperties>
</file>