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45"/>
        <w:pBdr/>
        <w:spacing w:after="0" w:before="0"/>
        <w:ind/>
        <w:jc w:val="center"/>
        <w:rPr>
          <w:rFonts w:ascii="Times New Roman" w:hAnsi="Times New Roman" w:cs="Times New Roman"/>
          <w:b/>
          <w:bCs/>
          <w:sz w:val="24"/>
          <w:szCs w:val="24"/>
          <w:highlight w:val="none"/>
        </w:rPr>
      </w:pPr>
      <w:r>
        <w:rPr>
          <w:rFonts w:eastAsia="Times New Roman" w:cs="Times New Roman"/>
          <w:b/>
          <w:sz w:val="24"/>
          <w:szCs w:val="24"/>
        </w:rPr>
        <w:t xml:space="preserve">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4173822A">
      <w:pPr>
        <w:pStyle w:val="845"/>
        <w:pBdr/>
        <w:spacing w:after="0" w:before="0"/>
        <w:ind/>
        <w:jc w:val="center"/>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71C6F785">
      <w:pPr>
        <w:pStyle w:val="845"/>
        <w:pBdr/>
        <w:spacing w:after="0" w:before="0"/>
        <w:ind/>
        <w:jc w:val="center"/>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845"/>
        <w:pBdr/>
        <w:spacing w:after="0" w:before="0"/>
        <w:ind/>
        <w:jc w:val="center"/>
        <w:rPr>
          <w:rFonts w:ascii="Times New Roman" w:hAnsi="Times New Roman" w:cs="Times New Roman"/>
          <w:b/>
          <w:bCs/>
          <w:sz w:val="24"/>
          <w:szCs w:val="24"/>
          <w:highlight w:val="none"/>
        </w:rPr>
      </w:pPr>
      <w:r>
        <w:rPr>
          <w:rFonts w:eastAsia="Times New Roman" w:cs="Times New Roman"/>
          <w:b/>
          <w:sz w:val="24"/>
          <w:szCs w:val="24"/>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845"/>
        <w:pBdr/>
        <w:spacing w:after="0" w:before="0"/>
        <w:ind/>
        <w:jc w:val="center"/>
        <w:rPr>
          <w:rFonts w:ascii="Times New Roman" w:hAnsi="Times New Roman" w:cs="Times New Roman"/>
          <w:b/>
          <w:bCs/>
          <w:sz w:val="24"/>
          <w:szCs w:val="24"/>
          <w:highlight w:val="none"/>
        </w:rPr>
      </w:pPr>
      <w:r>
        <w:rPr>
          <w:rFonts w:eastAsia="Times New Roman" w:cs="Times New Roman"/>
          <w:b/>
          <w:sz w:val="24"/>
          <w:szCs w:val="24"/>
        </w:rPr>
        <w:t xml:space="preserve">UCHWAŁA NR 53/IX/2026</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845"/>
        <w:pBdr/>
        <w:spacing w:after="0" w:before="0"/>
        <w:ind/>
        <w:jc w:val="center"/>
        <w:rPr>
          <w:rFonts w:ascii="Times New Roman" w:hAnsi="Times New Roman" w:cs="Times New Roman"/>
          <w:b/>
          <w:sz w:val="24"/>
          <w:szCs w:val="24"/>
        </w:rPr>
      </w:pPr>
      <w:r>
        <w:rPr>
          <w:rFonts w:eastAsia="Times New Roman" w:cs="Times New Roman"/>
          <w:b/>
          <w:sz w:val="24"/>
          <w:szCs w:val="24"/>
        </w:rPr>
        <w:t xml:space="preserve">RADY GMINY BRANIEWO</w:t>
      </w:r>
      <w:r>
        <w:rPr>
          <w:rFonts w:ascii="Times New Roman" w:hAnsi="Times New Roman" w:cs="Times New Roman"/>
          <w:b/>
          <w:sz w:val="24"/>
          <w:szCs w:val="24"/>
        </w:rPr>
      </w:r>
      <w:r>
        <w:rPr>
          <w:rFonts w:ascii="Times New Roman" w:hAnsi="Times New Roman" w:cs="Times New Roman"/>
          <w:b/>
          <w:sz w:val="24"/>
          <w:szCs w:val="24"/>
        </w:rPr>
      </w:r>
    </w:p>
    <w:p>
      <w:pPr>
        <w:pStyle w:val="845"/>
        <w:pBdr/>
        <w:spacing/>
        <w:ind/>
        <w:jc w:val="center"/>
        <w:rPr>
          <w:rFonts w:ascii="Times New Roman" w:hAnsi="Times New Roman" w:cs="Times New Roman"/>
        </w:rPr>
      </w:pPr>
      <w:r>
        <w:rPr>
          <w:rFonts w:eastAsia="Times New Roman" w:cs="Times New Roman"/>
          <w:b/>
          <w:sz w:val="24"/>
          <w:szCs w:val="24"/>
        </w:rPr>
        <w:t xml:space="preserve">Z DNIA 26 </w:t>
      </w:r>
      <w:r>
        <w:rPr>
          <w:rFonts w:eastAsia="Times New Roman" w:cs="Times New Roman"/>
          <w:b/>
          <w:bCs/>
          <w:sz w:val="24"/>
          <w:szCs w:val="24"/>
        </w:rPr>
        <w:t xml:space="preserve">CZERWCA</w:t>
      </w:r>
      <w:r>
        <w:rPr>
          <w:rFonts w:eastAsia="Times New Roman" w:cs="Times New Roman"/>
          <w:b/>
          <w:sz w:val="24"/>
          <w:szCs w:val="24"/>
        </w:rPr>
        <w:t xml:space="preserve"> 2026 ROKU</w:t>
      </w:r>
      <w:r>
        <w:rPr>
          <w:rFonts w:ascii="Times New Roman" w:hAnsi="Times New Roman" w:cs="Times New Roman"/>
        </w:rPr>
      </w:r>
      <w:r>
        <w:rPr>
          <w:rFonts w:ascii="Times New Roman" w:hAnsi="Times New Roman" w:cs="Times New Roman"/>
        </w:rPr>
      </w:r>
    </w:p>
    <w:p>
      <w:pPr>
        <w:pStyle w:val="845"/>
        <w:pBdr/>
        <w:spacing w:line="360" w:lineRule="auto"/>
        <w:ind/>
        <w:rPr>
          <w:rFonts w:ascii="Times New Roman" w:hAnsi="Times New Roman" w:cs="Times New Roman"/>
          <w:b/>
        </w:rPr>
      </w:pPr>
      <w:r>
        <w:rPr>
          <w:rFonts w:cs="Times New Roman"/>
          <w:b/>
        </w:rPr>
      </w:r>
      <w:r>
        <w:rPr>
          <w:rFonts w:ascii="Times New Roman" w:hAnsi="Times New Roman" w:cs="Times New Roman"/>
          <w:b/>
        </w:rPr>
      </w:r>
      <w:r>
        <w:rPr>
          <w:rFonts w:ascii="Times New Roman" w:hAnsi="Times New Roman" w:cs="Times New Roman"/>
          <w:b/>
        </w:rPr>
      </w:r>
    </w:p>
    <w:p>
      <w:pPr>
        <w:pStyle w:val="845"/>
        <w:pBdr/>
        <w:spacing/>
        <w:ind/>
        <w:jc w:val="both"/>
        <w:rPr>
          <w:rFonts w:ascii="Times New Roman" w:hAnsi="Times New Roman" w:cs="Times New Roman"/>
          <w:b/>
          <w:bCs/>
        </w:rPr>
      </w:pPr>
      <w:r>
        <w:rPr>
          <w:rFonts w:cs="Times New Roman"/>
          <w:b/>
          <w:bCs/>
        </w:rPr>
      </w:r>
      <w:r>
        <w:rPr>
          <w:rFonts w:ascii="Times New Roman" w:hAnsi="Times New Roman" w:cs="Times New Roman"/>
          <w:b/>
          <w:bCs/>
        </w:rPr>
      </w:r>
      <w:r>
        <w:rPr>
          <w:rFonts w:ascii="Times New Roman" w:hAnsi="Times New Roman" w:cs="Times New Roman"/>
          <w:b/>
          <w:bCs/>
        </w:rPr>
      </w:r>
    </w:p>
    <w:p>
      <w:pPr>
        <w:pStyle w:val="845"/>
        <w:pBdr/>
        <w:spacing w:line="240" w:lineRule="auto"/>
        <w:ind/>
        <w:jc w:val="both"/>
        <w:rPr>
          <w:rFonts w:ascii="Times New Roman" w:hAnsi="Times New Roman" w:cs="Times New Roman"/>
        </w:rPr>
      </w:pPr>
      <w:r>
        <w:rPr>
          <w:rFonts w:eastAsia="Times New Roman" w:cs="Times New Roman"/>
          <w:b/>
        </w:rPr>
        <w:t xml:space="preserve">w sprawie przeprowadzenia konsultacji społecznych projektu dokumentu                                    pn. ”Lokalny Plan Deinstytucjonalizacji Usług Społecznych  w Gminie Braniewo                                         na lata 2026-2030”</w:t>
      </w:r>
      <w:r>
        <w:rPr>
          <w:rFonts w:ascii="Times New Roman" w:hAnsi="Times New Roman" w:cs="Times New Roman"/>
        </w:rPr>
      </w:r>
      <w:r>
        <w:rPr>
          <w:rFonts w:ascii="Times New Roman" w:hAnsi="Times New Roman" w:cs="Times New Roman"/>
        </w:rPr>
      </w:r>
    </w:p>
    <w:p>
      <w:pPr>
        <w:pStyle w:val="845"/>
        <w:pBdr/>
        <w:spacing/>
        <w:ind/>
        <w:jc w:val="both"/>
        <w:rPr>
          <w:rFonts w:ascii="Times New Roman" w:hAnsi="Times New Roman" w:cs="Times New Roman"/>
          <w:b/>
        </w:rPr>
      </w:pPr>
      <w:r>
        <w:rPr>
          <w:rFonts w:cs="Times New Roman"/>
          <w:b/>
        </w:rPr>
      </w:r>
      <w:r>
        <w:rPr>
          <w:rFonts w:ascii="Times New Roman" w:hAnsi="Times New Roman" w:cs="Times New Roman"/>
          <w:b/>
        </w:rPr>
      </w:r>
      <w:r>
        <w:rPr>
          <w:rFonts w:ascii="Times New Roman" w:hAnsi="Times New Roman" w:cs="Times New Roman"/>
          <w:b/>
        </w:rPr>
      </w:r>
    </w:p>
    <w:p>
      <w:pPr>
        <w:pStyle w:val="845"/>
        <w:pBdr/>
        <w:spacing w:line="276" w:lineRule="auto"/>
        <w:ind/>
        <w:jc w:val="both"/>
        <w:rPr>
          <w:rFonts w:ascii="Times New Roman" w:hAnsi="Times New Roman" w:cs="Times New Roman"/>
          <w:highlight w:val="none"/>
        </w:rPr>
      </w:pPr>
      <w:r>
        <w:rPr>
          <w:rFonts w:eastAsia="Times New Roman" w:cs="Times New Roman"/>
        </w:rPr>
        <w:t xml:space="preserve">Na podstawie art. 30 ust. 1 ustawy z dnia 8 marca 1990 roku o samorządzie gminnym                                                  (t.j. Dz. Urz. z 2026 r., poz. 662 ze zm.) oraz § 5 ust.</w:t>
      </w:r>
      <w:r>
        <w:rPr>
          <w:rFonts w:eastAsia="Times New Roman" w:cs="Times New Roman"/>
        </w:rPr>
        <w:t xml:space="preserve"> 1 Uchwały Nr 77/V/2008 Rady Gminy Braniewo z dnia 30 grudnia 2008 roku w sprawie określenia zasad i trybu przeprowadzenia konsultacji z mieszkańcami gminy Braniewo (Dz. Urz. Woj. Warm.-Mazu. z 2009 r. poz. 456), Rada Gminy Braniewo uchwala, co następuje: </w:t>
      </w:r>
      <w:r>
        <w:rPr>
          <w:rFonts w:ascii="Times New Roman" w:hAnsi="Times New Roman" w:cs="Times New Roman"/>
          <w:highlight w:val="none"/>
        </w:rPr>
      </w:r>
      <w:r>
        <w:rPr>
          <w:rFonts w:ascii="Times New Roman" w:hAnsi="Times New Roman" w:cs="Times New Roman"/>
          <w:highlight w:val="none"/>
        </w:rPr>
      </w:r>
    </w:p>
    <w:p>
      <w:pPr>
        <w:pStyle w:val="845"/>
        <w:pBdr/>
        <w:spacing w:line="276" w:lineRule="auto"/>
        <w:ind/>
        <w:jc w:val="both"/>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jc w:val="center"/>
        <w:rPr>
          <w:rFonts w:ascii="Times New Roman" w:hAnsi="Times New Roman" w:cs="Times New Roman"/>
        </w:rPr>
      </w:pPr>
      <w:r>
        <w:rPr>
          <w:rFonts w:eastAsia="Times New Roman" w:cs="Times New Roman"/>
          <w:b/>
        </w:rPr>
        <w:t xml:space="preserve">§1</w:t>
      </w:r>
      <w:r>
        <w:rPr>
          <w:rFonts w:ascii="Times New Roman" w:hAnsi="Times New Roman" w:cs="Times New Roman"/>
        </w:rPr>
      </w:r>
      <w:r>
        <w:rPr>
          <w:rFonts w:ascii="Times New Roman" w:hAnsi="Times New Roman" w:cs="Times New Roman"/>
        </w:rPr>
      </w:r>
    </w:p>
    <w:p>
      <w:pPr>
        <w:pStyle w:val="845"/>
        <w:pBdr/>
        <w:spacing w:line="276" w:lineRule="auto"/>
        <w:ind/>
        <w:jc w:val="both"/>
        <w:rPr>
          <w:rFonts w:ascii="Times New Roman" w:hAnsi="Times New Roman" w:cs="Times New Roman"/>
          <w:highlight w:val="none"/>
        </w:rPr>
      </w:pPr>
      <w:r>
        <w:rPr>
          <w:rFonts w:eastAsia="Times New Roman" w:cs="Times New Roman"/>
        </w:rPr>
        <w:t xml:space="preserve">Postanawia się przeprowadzić konsultacje społeczne z mieszkańcami Gminy Braniewo w sprawie projektu dokumentu pn. „Lokalny Plan Deinstytucjonalizacji Usług Społecznych                                    w Gminie Braniewo na lata 2026-2030”.</w:t>
      </w:r>
      <w:r>
        <w:rPr>
          <w:rFonts w:ascii="Times New Roman" w:hAnsi="Times New Roman" w:cs="Times New Roman"/>
          <w:highlight w:val="none"/>
        </w:rPr>
      </w:r>
      <w:r>
        <w:rPr>
          <w:rFonts w:ascii="Times New Roman" w:hAnsi="Times New Roman" w:cs="Times New Roman"/>
          <w:highlight w:val="none"/>
        </w:rPr>
      </w:r>
    </w:p>
    <w:p w14:paraId="0C587DC6">
      <w:pPr>
        <w:pStyle w:val="845"/>
        <w:pBdr/>
        <w:spacing w:line="276" w:lineRule="auto"/>
        <w:ind/>
        <w:jc w:val="both"/>
        <w:rPr>
          <w:rFonts w:ascii="Times New Roman" w:hAnsi="Times New Roman" w:cs="Times New Roman"/>
        </w:rPr>
      </w:pPr>
      <w:r>
        <w:rPr>
          <w:rFonts w:ascii="Times New Roman" w:hAnsi="Times New Roman" w:cs="Times New Roman"/>
          <w:highlight w:val="none"/>
        </w:rPr>
      </w:r>
      <w:r>
        <w:rPr>
          <w:rFonts w:ascii="Times New Roman" w:hAnsi="Times New Roman" w:cs="Times New Roman"/>
        </w:rPr>
      </w:r>
      <w:r>
        <w:rPr>
          <w:rFonts w:ascii="Times New Roman" w:hAnsi="Times New Roman" w:cs="Times New Roman"/>
        </w:rPr>
      </w:r>
    </w:p>
    <w:p>
      <w:pPr>
        <w:pStyle w:val="845"/>
        <w:pBdr/>
        <w:spacing/>
        <w:ind/>
        <w:jc w:val="center"/>
        <w:rPr>
          <w:rFonts w:ascii="Times New Roman" w:hAnsi="Times New Roman" w:cs="Times New Roman"/>
        </w:rPr>
      </w:pPr>
      <w:r>
        <w:rPr>
          <w:rFonts w:eastAsia="Times New Roman" w:cs="Times New Roman"/>
          <w:b/>
        </w:rPr>
        <w:t xml:space="preserve">§2</w:t>
      </w:r>
      <w:r>
        <w:rPr>
          <w:rFonts w:ascii="Times New Roman" w:hAnsi="Times New Roman" w:cs="Times New Roman"/>
        </w:rPr>
      </w:r>
      <w:r>
        <w:rPr>
          <w:rFonts w:ascii="Times New Roman" w:hAnsi="Times New Roman" w:cs="Times New Roman"/>
        </w:rPr>
      </w:r>
    </w:p>
    <w:p>
      <w:pPr>
        <w:pStyle w:val="845"/>
        <w:pBdr/>
        <w:spacing/>
        <w:ind/>
        <w:jc w:val="both"/>
        <w:rPr>
          <w:rFonts w:ascii="Times New Roman" w:hAnsi="Times New Roman" w:cs="Times New Roman"/>
        </w:rPr>
      </w:pPr>
      <w:r>
        <w:rPr>
          <w:rFonts w:eastAsia="Times New Roman" w:cs="Times New Roman"/>
        </w:rPr>
        <w:t xml:space="preserve">Konsultacje społeczne przeprowadzone będą w okresie od dnia 29 czerwca 2026 r.                              do dnia 13 lipca 2026 r. w formie formularza zgłoszenia uwag. </w:t>
      </w:r>
      <w:r>
        <w:rPr>
          <w:rFonts w:ascii="Times New Roman" w:hAnsi="Times New Roman" w:cs="Times New Roman"/>
        </w:rPr>
      </w:r>
      <w:r>
        <w:rPr>
          <w:rFonts w:ascii="Times New Roman" w:hAnsi="Times New Roman" w:cs="Times New Roman"/>
        </w:rPr>
      </w:r>
    </w:p>
    <w:p>
      <w:pPr>
        <w:pStyle w:val="845"/>
        <w:pBdr/>
        <w:spacing/>
        <w:ind/>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jc w:val="center"/>
        <w:rPr>
          <w:rFonts w:ascii="Times New Roman" w:hAnsi="Times New Roman" w:cs="Times New Roman"/>
          <w:b/>
        </w:rPr>
      </w:pPr>
      <w:r/>
      <w:bookmarkStart w:id="0" w:name="_Hlk187397999"/>
      <w:r>
        <w:rPr>
          <w:rFonts w:eastAsia="Times New Roman" w:cs="Times New Roman"/>
          <w:b/>
        </w:rPr>
        <w:t xml:space="preserve">§3</w:t>
      </w:r>
      <w:bookmarkEnd w:id="0"/>
      <w:r>
        <w:rPr>
          <w:rFonts w:ascii="Times New Roman" w:hAnsi="Times New Roman" w:cs="Times New Roman"/>
          <w:b/>
        </w:rPr>
      </w:r>
      <w:r>
        <w:rPr>
          <w:rFonts w:ascii="Times New Roman" w:hAnsi="Times New Roman" w:cs="Times New Roman"/>
          <w:b/>
        </w:rPr>
      </w:r>
    </w:p>
    <w:p>
      <w:pPr>
        <w:pStyle w:val="845"/>
        <w:pBdr/>
        <w:spacing/>
        <w:ind/>
        <w:jc w:val="both"/>
        <w:rPr>
          <w:rFonts w:ascii="Times New Roman" w:hAnsi="Times New Roman" w:cs="Times New Roman"/>
          <w:bCs/>
        </w:rPr>
      </w:pPr>
      <w:r>
        <w:rPr>
          <w:rFonts w:eastAsia="Times New Roman" w:cs="Times New Roman"/>
          <w:bCs/>
        </w:rPr>
        <w:t xml:space="preserve">Treść ogłoszenia Wójta Gminy Braniewo stanowi załącznik nr 1 do niniejszej uchwały.</w:t>
      </w:r>
      <w:r>
        <w:rPr>
          <w:rFonts w:ascii="Times New Roman" w:hAnsi="Times New Roman" w:cs="Times New Roman"/>
          <w:bCs/>
        </w:rPr>
      </w:r>
      <w:r>
        <w:rPr>
          <w:rFonts w:ascii="Times New Roman" w:hAnsi="Times New Roman" w:cs="Times New Roman"/>
          <w:bCs/>
        </w:rPr>
      </w:r>
    </w:p>
    <w:p>
      <w:pPr>
        <w:pStyle w:val="845"/>
        <w:pBdr/>
        <w:spacing/>
        <w:ind/>
        <w:jc w:val="center"/>
        <w:rPr>
          <w:rFonts w:ascii="Times New Roman" w:hAnsi="Times New Roman" w:cs="Times New Roman"/>
          <w:b/>
        </w:rPr>
      </w:pPr>
      <w:r>
        <w:rPr>
          <w:rFonts w:cs="Times New Roman"/>
          <w:b/>
        </w:rPr>
      </w:r>
      <w:r>
        <w:rPr>
          <w:rFonts w:ascii="Times New Roman" w:hAnsi="Times New Roman" w:cs="Times New Roman"/>
          <w:b/>
        </w:rPr>
      </w:r>
      <w:r>
        <w:rPr>
          <w:rFonts w:ascii="Times New Roman" w:hAnsi="Times New Roman" w:cs="Times New Roman"/>
          <w:b/>
        </w:rPr>
      </w:r>
    </w:p>
    <w:p>
      <w:pPr>
        <w:pStyle w:val="845"/>
        <w:pBdr/>
        <w:spacing/>
        <w:ind/>
        <w:jc w:val="center"/>
        <w:rPr>
          <w:rFonts w:ascii="Times New Roman" w:hAnsi="Times New Roman" w:cs="Times New Roman"/>
          <w:b/>
        </w:rPr>
      </w:pPr>
      <w:r>
        <w:rPr>
          <w:rFonts w:eastAsia="Times New Roman" w:cs="Times New Roman"/>
          <w:b/>
        </w:rPr>
        <w:t xml:space="preserve">§4</w:t>
      </w:r>
      <w:r>
        <w:rPr>
          <w:rFonts w:ascii="Times New Roman" w:hAnsi="Times New Roman" w:cs="Times New Roman"/>
          <w:b/>
        </w:rPr>
      </w:r>
      <w:r>
        <w:rPr>
          <w:rFonts w:ascii="Times New Roman" w:hAnsi="Times New Roman" w:cs="Times New Roman"/>
          <w:b/>
        </w:rPr>
      </w:r>
    </w:p>
    <w:p>
      <w:pPr>
        <w:pStyle w:val="845"/>
        <w:pBdr/>
        <w:tabs>
          <w:tab w:val="clear" w:leader="none" w:pos="708"/>
          <w:tab w:val="left" w:leader="none" w:pos="5599"/>
        </w:tabs>
        <w:spacing/>
        <w:ind/>
        <w:rPr>
          <w:rFonts w:ascii="Times New Roman" w:hAnsi="Times New Roman" w:cs="Times New Roman"/>
          <w:bCs/>
        </w:rPr>
      </w:pPr>
      <w:r>
        <w:rPr>
          <w:rFonts w:eastAsia="Times New Roman" w:cs="Times New Roman"/>
          <w:bCs/>
        </w:rPr>
        <w:t xml:space="preserve">Wzór formularza zgłaszania uwag określa załącznik nr 2 do niniejszej uchwały.</w:t>
      </w:r>
      <w:r>
        <w:rPr>
          <w:rFonts w:ascii="Times New Roman" w:hAnsi="Times New Roman" w:cs="Times New Roman"/>
          <w:bCs/>
        </w:rPr>
      </w:r>
      <w:r>
        <w:rPr>
          <w:rFonts w:ascii="Times New Roman" w:hAnsi="Times New Roman" w:cs="Times New Roman"/>
          <w:bCs/>
        </w:rPr>
      </w:r>
    </w:p>
    <w:p>
      <w:pPr>
        <w:pStyle w:val="845"/>
        <w:pBdr/>
        <w:spacing/>
        <w:ind/>
        <w:jc w:val="center"/>
        <w:rPr>
          <w:rFonts w:ascii="Times New Roman" w:hAnsi="Times New Roman" w:cs="Times New Roman"/>
          <w:b/>
        </w:rPr>
      </w:pPr>
      <w:r>
        <w:rPr>
          <w:rFonts w:cs="Times New Roman"/>
          <w:b/>
        </w:rPr>
      </w:r>
      <w:r>
        <w:rPr>
          <w:rFonts w:ascii="Times New Roman" w:hAnsi="Times New Roman" w:cs="Times New Roman"/>
          <w:b/>
        </w:rPr>
      </w:r>
      <w:r>
        <w:rPr>
          <w:rFonts w:ascii="Times New Roman" w:hAnsi="Times New Roman" w:cs="Times New Roman"/>
          <w:b/>
        </w:rPr>
      </w:r>
    </w:p>
    <w:p>
      <w:pPr>
        <w:pStyle w:val="845"/>
        <w:pBdr/>
        <w:spacing/>
        <w:ind/>
        <w:jc w:val="center"/>
        <w:rPr>
          <w:rFonts w:ascii="Times New Roman" w:hAnsi="Times New Roman" w:cs="Times New Roman"/>
          <w:b/>
        </w:rPr>
      </w:pPr>
      <w:r>
        <w:rPr>
          <w:rFonts w:eastAsia="Times New Roman" w:cs="Times New Roman"/>
          <w:b/>
        </w:rPr>
        <w:t xml:space="preserve">§5</w:t>
      </w:r>
      <w:r>
        <w:rPr>
          <w:rFonts w:ascii="Times New Roman" w:hAnsi="Times New Roman" w:cs="Times New Roman"/>
          <w:b/>
        </w:rPr>
      </w:r>
      <w:r>
        <w:rPr>
          <w:rFonts w:ascii="Times New Roman" w:hAnsi="Times New Roman" w:cs="Times New Roman"/>
          <w:b/>
        </w:rPr>
      </w:r>
    </w:p>
    <w:p>
      <w:pPr>
        <w:pStyle w:val="845"/>
        <w:pBdr/>
        <w:tabs>
          <w:tab w:val="clear" w:leader="none" w:pos="708"/>
          <w:tab w:val="left" w:leader="none" w:pos="5599"/>
        </w:tabs>
        <w:spacing/>
        <w:ind/>
        <w:jc w:val="both"/>
        <w:rPr>
          <w:rFonts w:ascii="Times New Roman" w:hAnsi="Times New Roman" w:cs="Times New Roman"/>
          <w:bCs/>
        </w:rPr>
      </w:pPr>
      <w:r>
        <w:rPr>
          <w:rFonts w:eastAsia="Times New Roman" w:cs="Times New Roman"/>
          <w:bCs/>
        </w:rPr>
        <w:t xml:space="preserve">Projekt dokumentu pn. </w:t>
      </w:r>
      <w:r>
        <w:rPr>
          <w:rFonts w:eastAsia="Times New Roman" w:cs="Times New Roman"/>
        </w:rPr>
        <w:t xml:space="preserve">„Lokalny Plan Deinstytucjonalizacji Usług Społecznych                                    w Gminie Braniewo na lata 2026-2030”</w:t>
      </w:r>
      <w:r>
        <w:rPr>
          <w:rFonts w:eastAsia="Times New Roman" w:cs="Times New Roman"/>
          <w:bCs/>
        </w:rPr>
        <w:t xml:space="preserve"> stanowi załącznik nr 3 do niniejszej uchwały.</w:t>
      </w:r>
      <w:r>
        <w:rPr>
          <w:rFonts w:ascii="Times New Roman" w:hAnsi="Times New Roman" w:cs="Times New Roman"/>
          <w:bCs/>
        </w:rPr>
      </w:r>
      <w:r>
        <w:rPr>
          <w:rFonts w:ascii="Times New Roman" w:hAnsi="Times New Roman" w:cs="Times New Roman"/>
          <w:bCs/>
        </w:rPr>
      </w:r>
    </w:p>
    <w:p>
      <w:pPr>
        <w:pStyle w:val="845"/>
        <w:pBdr/>
        <w:tabs>
          <w:tab w:val="clear" w:leader="none" w:pos="708"/>
          <w:tab w:val="left" w:leader="none" w:pos="5599"/>
        </w:tabs>
        <w:spacing/>
        <w:ind/>
        <w:jc w:val="both"/>
        <w:rPr>
          <w:rFonts w:ascii="Times New Roman" w:hAnsi="Times New Roman" w:cs="Times New Roman"/>
          <w:bCs/>
        </w:rPr>
      </w:pPr>
      <w:r>
        <w:rPr>
          <w:rFonts w:cs="Times New Roman"/>
          <w:bCs/>
        </w:rPr>
      </w:r>
      <w:r>
        <w:rPr>
          <w:rFonts w:ascii="Times New Roman" w:hAnsi="Times New Roman" w:cs="Times New Roman"/>
          <w:bCs/>
        </w:rPr>
      </w:r>
      <w:r>
        <w:rPr>
          <w:rFonts w:ascii="Times New Roman" w:hAnsi="Times New Roman" w:cs="Times New Roman"/>
          <w:bCs/>
        </w:rPr>
      </w:r>
    </w:p>
    <w:p>
      <w:pPr>
        <w:pStyle w:val="845"/>
        <w:pBdr/>
        <w:spacing/>
        <w:ind/>
        <w:jc w:val="center"/>
        <w:rPr>
          <w:rFonts w:ascii="Times New Roman" w:hAnsi="Times New Roman" w:cs="Times New Roman"/>
          <w:b/>
        </w:rPr>
      </w:pPr>
      <w:r>
        <w:rPr>
          <w:rFonts w:eastAsia="Times New Roman" w:cs="Times New Roman"/>
          <w:b/>
        </w:rPr>
        <w:t xml:space="preserve">§6</w:t>
      </w:r>
      <w:r>
        <w:rPr>
          <w:rFonts w:ascii="Times New Roman" w:hAnsi="Times New Roman" w:cs="Times New Roman"/>
          <w:b/>
        </w:rPr>
      </w:r>
      <w:r>
        <w:rPr>
          <w:rFonts w:ascii="Times New Roman" w:hAnsi="Times New Roman" w:cs="Times New Roman"/>
          <w:b/>
        </w:rPr>
      </w:r>
    </w:p>
    <w:p>
      <w:pPr>
        <w:pStyle w:val="845"/>
        <w:pBdr/>
        <w:spacing/>
        <w:ind/>
        <w:rPr>
          <w:rFonts w:ascii="Times New Roman" w:hAnsi="Times New Roman" w:cs="Times New Roman"/>
        </w:rPr>
      </w:pPr>
      <w:r>
        <w:rPr>
          <w:rFonts w:eastAsia="Times New Roman" w:cs="Times New Roman"/>
          <w:bCs/>
        </w:rPr>
        <w:t xml:space="preserve">Wykonanie uchwały powierza się </w:t>
      </w:r>
      <w:r>
        <w:rPr>
          <w:rFonts w:eastAsia="Times New Roman" w:cs="Times New Roman"/>
        </w:rPr>
        <w:t xml:space="preserve">Wójtowi Gminy Braniewo.</w:t>
      </w:r>
      <w:r>
        <w:rPr>
          <w:rFonts w:ascii="Times New Roman" w:hAnsi="Times New Roman" w:cs="Times New Roman"/>
        </w:rPr>
      </w:r>
      <w:r>
        <w:rPr>
          <w:rFonts w:ascii="Times New Roman" w:hAnsi="Times New Roman" w:cs="Times New Roman"/>
        </w:rPr>
      </w:r>
    </w:p>
    <w:p>
      <w:pPr>
        <w:pStyle w:val="845"/>
        <w:pBdr/>
        <w:tabs>
          <w:tab w:val="clear" w:leader="none" w:pos="708"/>
          <w:tab w:val="left" w:leader="none" w:pos="5599"/>
        </w:tabs>
        <w:spacing/>
        <w:ind/>
        <w:rPr>
          <w:rFonts w:ascii="Times New Roman" w:hAnsi="Times New Roman" w:cs="Times New Roman"/>
          <w:bCs/>
        </w:rPr>
      </w:pPr>
      <w:r>
        <w:rPr>
          <w:rFonts w:cs="Times New Roman"/>
          <w:bCs/>
        </w:rPr>
      </w:r>
      <w:r>
        <w:rPr>
          <w:rFonts w:ascii="Times New Roman" w:hAnsi="Times New Roman" w:cs="Times New Roman"/>
          <w:bCs/>
        </w:rPr>
      </w:r>
      <w:r>
        <w:rPr>
          <w:rFonts w:ascii="Times New Roman" w:hAnsi="Times New Roman" w:cs="Times New Roman"/>
          <w:bCs/>
        </w:rPr>
      </w:r>
    </w:p>
    <w:p>
      <w:pPr>
        <w:pStyle w:val="845"/>
        <w:pBdr/>
        <w:spacing/>
        <w:ind/>
        <w:jc w:val="center"/>
        <w:rPr>
          <w:rFonts w:ascii="Times New Roman" w:hAnsi="Times New Roman" w:cs="Times New Roman"/>
          <w:b/>
        </w:rPr>
      </w:pPr>
      <w:r>
        <w:rPr>
          <w:rFonts w:eastAsia="Times New Roman" w:cs="Times New Roman"/>
          <w:b/>
        </w:rPr>
        <w:t xml:space="preserve">§7</w:t>
      </w:r>
      <w:r>
        <w:rPr>
          <w:rFonts w:ascii="Times New Roman" w:hAnsi="Times New Roman" w:cs="Times New Roman"/>
          <w:b/>
        </w:rPr>
      </w:r>
      <w:r>
        <w:rPr>
          <w:rFonts w:ascii="Times New Roman" w:hAnsi="Times New Roman" w:cs="Times New Roman"/>
          <w:b/>
        </w:rPr>
      </w:r>
    </w:p>
    <w:p>
      <w:pPr>
        <w:pStyle w:val="845"/>
        <w:pBdr/>
        <w:spacing w:line="276" w:lineRule="auto"/>
        <w:ind/>
        <w:jc w:val="both"/>
        <w:rPr>
          <w:rFonts w:ascii="Times New Roman" w:hAnsi="Times New Roman" w:cs="Times New Roman"/>
        </w:rPr>
      </w:pPr>
      <w:r>
        <w:rPr>
          <w:rFonts w:eastAsia="Times New Roman" w:cs="Times New Roman"/>
        </w:rPr>
        <w:t xml:space="preserve">Uchwała wchodzi w życie z dniem podjęcia i podlega ogłoszeniu w Biuletynie Informacji Publicznej Urzędu Gminy Braniewo.</w:t>
      </w:r>
      <w:r>
        <w:rPr>
          <w:rFonts w:ascii="Times New Roman" w:hAnsi="Times New Roman" w:cs="Times New Roman"/>
        </w:rPr>
      </w:r>
      <w:r>
        <w:rPr>
          <w:rFonts w:ascii="Times New Roman" w:hAnsi="Times New Roman" w:cs="Times New Roman"/>
        </w:rPr>
      </w:r>
    </w:p>
    <w:p>
      <w:pPr>
        <w:pStyle w:val="845"/>
        <w:pBdr/>
        <w:spacing w:line="276" w:lineRule="auto"/>
        <w:ind/>
        <w:rPr>
          <w:rFonts w:ascii="Times New Roman" w:hAnsi="Times New Roman" w:cs="Times New Roman"/>
          <w:sz w:val="22"/>
          <w:szCs w:val="22"/>
          <w:u w:val="single"/>
        </w:rPr>
      </w:pPr>
      <w:r>
        <w:rPr>
          <w:rFonts w:cs="Times New Roman"/>
          <w:sz w:val="22"/>
          <w:szCs w:val="22"/>
          <w:u w:val="single"/>
        </w:rPr>
      </w:r>
      <w:r>
        <w:rPr>
          <w:rFonts w:ascii="Times New Roman" w:hAnsi="Times New Roman" w:cs="Times New Roman"/>
          <w:sz w:val="22"/>
          <w:szCs w:val="22"/>
          <w:u w:val="single"/>
        </w:rPr>
      </w:r>
      <w:r>
        <w:rPr>
          <w:rFonts w:ascii="Times New Roman" w:hAnsi="Times New Roman" w:cs="Times New Roman"/>
          <w:sz w:val="22"/>
          <w:szCs w:val="22"/>
          <w:u w:val="single"/>
        </w:rPr>
      </w:r>
    </w:p>
    <w:p>
      <w:pPr>
        <w:pStyle w:val="845"/>
        <w:pBdr/>
        <w:spacing w:line="276" w:lineRule="auto"/>
        <w:ind/>
        <w:rPr>
          <w:rFonts w:ascii="Times New Roman" w:hAnsi="Times New Roman" w:cs="Times New Roman"/>
          <w:sz w:val="22"/>
          <w:szCs w:val="22"/>
          <w:u w:val="single"/>
        </w:rPr>
      </w:pPr>
      <w:r>
        <w:rPr>
          <w:rFonts w:cs="Times New Roman"/>
          <w:sz w:val="22"/>
          <w:szCs w:val="22"/>
          <w:u w:val="single"/>
        </w:rPr>
      </w:r>
      <w:r>
        <w:rPr>
          <w:rFonts w:ascii="Times New Roman" w:hAnsi="Times New Roman" w:cs="Times New Roman"/>
          <w:sz w:val="22"/>
          <w:szCs w:val="22"/>
          <w:u w:val="single"/>
        </w:rPr>
      </w:r>
      <w:r>
        <w:rPr>
          <w:rFonts w:ascii="Times New Roman" w:hAnsi="Times New Roman" w:cs="Times New Roman"/>
          <w:sz w:val="22"/>
          <w:szCs w:val="22"/>
          <w:u w:val="single"/>
        </w:rPr>
      </w:r>
    </w:p>
    <w:p>
      <w:pPr>
        <w:pStyle w:val="845"/>
        <w:pBdr/>
        <w:spacing w:line="276" w:lineRule="auto"/>
        <w:ind/>
        <w:rPr>
          <w:rFonts w:ascii="Times New Roman" w:hAnsi="Times New Roman" w:cs="Times New Roman"/>
          <w:sz w:val="22"/>
          <w:szCs w:val="22"/>
          <w:u w:val="single"/>
        </w:rPr>
      </w:pPr>
      <w:r>
        <w:rPr>
          <w:rFonts w:cs="Times New Roman"/>
          <w:sz w:val="22"/>
          <w:szCs w:val="22"/>
          <w:u w:val="single"/>
        </w:rPr>
      </w:r>
      <w:r>
        <w:rPr>
          <w:rFonts w:ascii="Times New Roman" w:hAnsi="Times New Roman" w:cs="Times New Roman"/>
          <w:sz w:val="22"/>
          <w:szCs w:val="22"/>
          <w:u w:val="single"/>
        </w:rPr>
      </w:r>
      <w:r>
        <w:rPr>
          <w:rFonts w:ascii="Times New Roman" w:hAnsi="Times New Roman" w:cs="Times New Roman"/>
          <w:sz w:val="22"/>
          <w:szCs w:val="22"/>
          <w:u w:val="single"/>
        </w:rPr>
      </w:r>
    </w:p>
    <w:p>
      <w:pPr>
        <w:pStyle w:val="906"/>
        <w:pBdr/>
        <w:spacing w:after="0" w:before="0" w:line="240" w:lineRule="auto"/>
        <w:ind/>
        <w:rPr>
          <w:rFonts w:eastAsia="Times New Roman" w:cs="Times New Roman"/>
          <w:color w:val="ff0000"/>
          <w:sz w:val="24"/>
          <w:szCs w:val="24"/>
          <w:highlight w:val="none"/>
          <w:lang w:val="pl-PL" w:eastAsia="zh-CN" w:bidi="ar-SA"/>
        </w:rPr>
      </w:pPr>
      <w:r>
        <w:rPr>
          <w:rFonts w:eastAsia="Times New Roman" w:cs="Times New Roman"/>
          <w:color w:val="ff0000"/>
          <w:sz w:val="24"/>
          <w:szCs w:val="24"/>
          <w:lang w:val="pl-PL" w:eastAsia="zh-CN" w:bidi="ar-SA"/>
        </w:rPr>
        <w:t xml:space="preserve">                                                                                              </w:t>
      </w:r>
      <w:r>
        <w:rPr>
          <w:rFonts w:ascii="Times New Roman" w:hAnsi="Times New Roman" w:cs="Times New Roman"/>
          <w:color w:val="000000"/>
          <w:sz w:val="24"/>
          <w:szCs w:val="24"/>
          <w:highlight w:val="none"/>
          <w:lang w:val="pl-PL" w:bidi="ar-SA"/>
        </w:rPr>
      </w:r>
    </w:p>
    <w:p w14:paraId="33943768">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54547444">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0CB1B7D6">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45EE5092">
      <w:pPr>
        <w:pStyle w:val="906"/>
        <w:pBdr/>
        <w:spacing w:after="0" w:before="0" w:line="240" w:lineRule="auto"/>
        <w:ind/>
        <w:rPr>
          <w:rFonts w:ascii="Times New Roman" w:hAnsi="Times New Roman" w:cs="Times New Roman"/>
          <w:color w:val="000000"/>
          <w:sz w:val="24"/>
          <w:szCs w:val="24"/>
          <w:highlight w:val="none"/>
          <w:lang w:val="pl-PL" w:bidi="ar-SA"/>
        </w:rPr>
      </w:pPr>
      <w:r>
        <w:rPr>
          <w:rFonts w:eastAsia="Times New Roman" w:cs="Times New Roman"/>
          <w:color w:val="ff0000"/>
          <w:sz w:val="24"/>
          <w:szCs w:val="24"/>
          <w:highlight w:val="none"/>
          <w:lang w:val="pl-PL" w:eastAsia="zh-CN" w:bidi="pl-PL"/>
        </w:rPr>
      </w:r>
      <w:r>
        <w:rPr>
          <w:rFonts w:eastAsia="Times New Roman" w:cs="Times New Roman"/>
          <w:color w:val="ff0000"/>
          <w:sz w:val="24"/>
          <w:szCs w:val="24"/>
          <w:highlight w:val="none"/>
          <w:lang w:val="pl-PL" w:eastAsia="zh-CN" w:bidi="pl-PL"/>
        </w:rPr>
      </w:r>
      <w:r>
        <w:rPr>
          <w:rFonts w:eastAsia="Times New Roman" w:cs="Times New Roman"/>
          <w:color w:val="ff0000"/>
          <w:sz w:val="24"/>
          <w:szCs w:val="24"/>
          <w:highlight w:val="none"/>
          <w:lang w:val="pl-PL" w:eastAsia="zh-CN" w:bidi="ar-SA"/>
        </w:rPr>
      </w:r>
    </w:p>
    <w:p w14:paraId="2B44844A">
      <w:pPr>
        <w:pStyle w:val="845"/>
        <w:pBdr/>
        <w:spacing w:after="0" w:before="0"/>
        <w:ind/>
        <w:jc w:val="left"/>
        <w:rPr>
          <w:rFonts w:eastAsia="Times New Roman" w:cs="Times New Roman"/>
          <w:b/>
          <w:bCs/>
          <w:color w:val="ff0000"/>
          <w:sz w:val="20"/>
          <w:szCs w:val="20"/>
          <w:highlight w:val="none"/>
        </w:rPr>
      </w:pPr>
      <w:r>
        <w:rPr>
          <w:rFonts w:eastAsia="Times New Roman" w:cs="Times New Roman"/>
          <w:b/>
          <w:color w:val="ff0000"/>
          <w:sz w:val="20"/>
          <w:szCs w:val="20"/>
          <w:highlight w:val="none"/>
        </w:rPr>
      </w:r>
      <w:r>
        <w:rPr>
          <w:rFonts w:eastAsia="Times New Roman" w:cs="Times New Roman"/>
          <w:b/>
          <w:color w:val="ff0000"/>
          <w:sz w:val="20"/>
          <w:szCs w:val="20"/>
          <w:highlight w:val="none"/>
        </w:rPr>
      </w:r>
      <w:r>
        <w:rPr>
          <w:rFonts w:eastAsia="Times New Roman" w:cs="Times New Roman"/>
          <w:b/>
          <w:bCs/>
          <w:color w:val="ff0000"/>
          <w:sz w:val="20"/>
          <w:szCs w:val="20"/>
          <w:highlight w:val="none"/>
        </w:rPr>
      </w:r>
    </w:p>
    <w:p>
      <w:pPr>
        <w:pStyle w:val="845"/>
        <w:pBdr/>
        <w:spacing w:line="276" w:lineRule="auto"/>
        <w:ind/>
        <w:jc w:val="right"/>
        <w:rPr>
          <w:sz w:val="18"/>
          <w:szCs w:val="18"/>
        </w:rPr>
      </w:pPr>
      <w:r>
        <w:rPr>
          <w:rFonts w:eastAsia="Times New Roman" w:cs="Times New Roman"/>
          <w:b/>
          <w:sz w:val="18"/>
          <w:szCs w:val="18"/>
        </w:rPr>
        <w:t xml:space="preserve">ZAŁĄCZNIK NR 1 </w:t>
      </w:r>
      <w:r>
        <w:rPr>
          <w:sz w:val="18"/>
          <w:szCs w:val="18"/>
        </w:rPr>
      </w:r>
      <w:r>
        <w:rPr>
          <w:sz w:val="18"/>
          <w:szCs w:val="18"/>
        </w:rPr>
      </w:r>
    </w:p>
    <w:p>
      <w:pPr>
        <w:pStyle w:val="845"/>
        <w:pBdr/>
        <w:spacing w:line="276" w:lineRule="auto"/>
        <w:ind/>
        <w:jc w:val="right"/>
        <w:rPr>
          <w:sz w:val="18"/>
          <w:szCs w:val="18"/>
        </w:rPr>
      </w:pPr>
      <w:r>
        <w:rPr>
          <w:rFonts w:eastAsia="Times New Roman" w:cs="Times New Roman"/>
          <w:b/>
          <w:sz w:val="18"/>
          <w:szCs w:val="18"/>
        </w:rPr>
        <w:t xml:space="preserve">                                                                      </w:t>
      </w:r>
      <w:r>
        <w:rPr>
          <w:rFonts w:eastAsia="Times New Roman" w:cs="Times New Roman"/>
          <w:b/>
          <w:sz w:val="18"/>
          <w:szCs w:val="18"/>
        </w:rPr>
        <w:t xml:space="preserve">DO UCHWAŁY  NR 53/IX/2026</w:t>
      </w:r>
      <w:r>
        <w:rPr>
          <w:sz w:val="18"/>
          <w:szCs w:val="18"/>
        </w:rPr>
      </w:r>
      <w:r>
        <w:rPr>
          <w:sz w:val="18"/>
          <w:szCs w:val="18"/>
        </w:rPr>
      </w:r>
    </w:p>
    <w:p>
      <w:pPr>
        <w:pStyle w:val="845"/>
        <w:pBdr/>
        <w:spacing w:line="276" w:lineRule="auto"/>
        <w:ind w:left="3540"/>
        <w:jc w:val="right"/>
        <w:rPr>
          <w:sz w:val="18"/>
          <w:szCs w:val="18"/>
        </w:rPr>
      </w:pPr>
      <w:r>
        <w:rPr>
          <w:rFonts w:eastAsia="Times New Roman" w:cs="Times New Roman"/>
          <w:b/>
          <w:sz w:val="18"/>
          <w:szCs w:val="18"/>
        </w:rPr>
        <w:t xml:space="preserve">           </w:t>
      </w:r>
      <w:r>
        <w:rPr>
          <w:rFonts w:eastAsia="Times New Roman" w:cs="Times New Roman"/>
          <w:b/>
          <w:sz w:val="18"/>
          <w:szCs w:val="18"/>
        </w:rPr>
        <w:t xml:space="preserve">RADY GMINY BRANIEWO</w:t>
      </w:r>
      <w:r>
        <w:rPr>
          <w:sz w:val="18"/>
          <w:szCs w:val="18"/>
        </w:rPr>
      </w:r>
      <w:r>
        <w:rPr>
          <w:sz w:val="18"/>
          <w:szCs w:val="18"/>
        </w:rPr>
      </w:r>
    </w:p>
    <w:p>
      <w:pPr>
        <w:pStyle w:val="845"/>
        <w:pBdr/>
        <w:spacing w:line="276" w:lineRule="auto"/>
        <w:ind w:left="3540"/>
        <w:jc w:val="right"/>
        <w:rPr>
          <w:sz w:val="18"/>
          <w:szCs w:val="18"/>
        </w:rPr>
      </w:pPr>
      <w:r>
        <w:rPr>
          <w:rFonts w:eastAsia="Times New Roman" w:cs="Times New Roman"/>
          <w:b/>
          <w:sz w:val="18"/>
          <w:szCs w:val="18"/>
        </w:rPr>
        <w:t xml:space="preserve">           </w:t>
      </w:r>
      <w:r>
        <w:rPr>
          <w:rFonts w:eastAsia="Times New Roman" w:cs="Times New Roman"/>
          <w:b/>
          <w:sz w:val="18"/>
          <w:szCs w:val="18"/>
        </w:rPr>
        <w:t xml:space="preserve">Z DNIA 26 CZERWCA 2026 ROKU</w:t>
      </w:r>
      <w:r>
        <w:rPr>
          <w:sz w:val="18"/>
          <w:szCs w:val="18"/>
        </w:rPr>
      </w:r>
      <w:r>
        <w:rPr>
          <w:sz w:val="18"/>
          <w:szCs w:val="18"/>
        </w:rPr>
      </w:r>
    </w:p>
    <w:p>
      <w:pPr>
        <w:pStyle w:val="845"/>
        <w:pBdr/>
        <w:spacing w:line="276" w:lineRule="auto"/>
        <w:ind w:left="3540"/>
        <w:jc w:val="right"/>
        <w:rPr>
          <w:rFonts w:ascii="Times New Roman" w:hAnsi="Times New Roman" w:cs="Times New Roman"/>
          <w:b/>
          <w:sz w:val="20"/>
          <w:szCs w:val="20"/>
        </w:rPr>
      </w:pPr>
      <w:r>
        <w:rPr>
          <w:rFonts w:cs="Times New Roman"/>
          <w:b/>
          <w:sz w:val="20"/>
          <w:szCs w:val="20"/>
        </w:rPr>
      </w:r>
      <w:r>
        <w:rPr>
          <w:rFonts w:ascii="Times New Roman" w:hAnsi="Times New Roman" w:cs="Times New Roman"/>
          <w:b/>
          <w:sz w:val="20"/>
          <w:szCs w:val="20"/>
        </w:rPr>
      </w:r>
      <w:r>
        <w:rPr>
          <w:rFonts w:ascii="Times New Roman" w:hAnsi="Times New Roman" w:cs="Times New Roman"/>
          <w:b/>
          <w:sz w:val="20"/>
          <w:szCs w:val="20"/>
        </w:rPr>
      </w:r>
    </w:p>
    <w:p>
      <w:pPr>
        <w:pStyle w:val="845"/>
        <w:pBdr/>
        <w:spacing w:line="276" w:lineRule="auto"/>
        <w:ind/>
        <w:jc w:val="center"/>
        <w:rPr>
          <w:rFonts w:ascii="Times New Roman" w:hAnsi="Times New Roman" w:cs="Times New Roman"/>
          <w:b/>
          <w:bCs/>
          <w:sz w:val="22"/>
          <w:szCs w:val="22"/>
          <w:highlight w:val="none"/>
        </w:rPr>
      </w:pPr>
      <w:r>
        <w:rPr>
          <w:rFonts w:eastAsia="Times New Roman" w:cs="Times New Roman"/>
          <w:b/>
          <w:sz w:val="22"/>
          <w:szCs w:val="22"/>
        </w:rPr>
        <w:t xml:space="preserve">OGŁOSZENIE WÓJTA GMINY BRANIEWO</w:t>
      </w:r>
      <w:r>
        <w:rPr>
          <w:rFonts w:ascii="Times New Roman" w:hAnsi="Times New Roman" w:cs="Times New Roman"/>
          <w:b/>
          <w:bCs/>
          <w:sz w:val="22"/>
          <w:szCs w:val="22"/>
          <w:highlight w:val="none"/>
        </w:rPr>
      </w:r>
      <w:r>
        <w:rPr>
          <w:rFonts w:ascii="Times New Roman" w:hAnsi="Times New Roman" w:cs="Times New Roman"/>
          <w:b/>
          <w:bCs/>
          <w:sz w:val="22"/>
          <w:szCs w:val="22"/>
          <w:highlight w:val="none"/>
        </w:rPr>
      </w:r>
    </w:p>
    <w:p w14:paraId="1CDD4A86">
      <w:pPr>
        <w:pStyle w:val="845"/>
        <w:pBdr/>
        <w:spacing w:line="276" w:lineRule="auto"/>
        <w:ind/>
        <w:jc w:val="center"/>
        <w:rPr>
          <w:rFonts w:ascii="Times New Roman" w:hAnsi="Times New Roman" w:cs="Times New Roman"/>
          <w:b/>
          <w:bCs/>
          <w:sz w:val="22"/>
          <w:szCs w:val="22"/>
        </w:rPr>
      </w:pPr>
      <w:r>
        <w:rPr>
          <w:rFonts w:ascii="Times New Roman" w:hAnsi="Times New Roman" w:cs="Times New Roman"/>
          <w:b/>
          <w:sz w:val="22"/>
          <w:szCs w:val="22"/>
          <w:highlight w:val="none"/>
        </w:rPr>
      </w:r>
      <w:r>
        <w:rPr>
          <w:rFonts w:ascii="Times New Roman" w:hAnsi="Times New Roman" w:cs="Times New Roman"/>
          <w:b/>
          <w:bCs/>
          <w:sz w:val="22"/>
          <w:szCs w:val="22"/>
        </w:rPr>
      </w:r>
      <w:r>
        <w:rPr>
          <w:rFonts w:ascii="Times New Roman" w:hAnsi="Times New Roman" w:cs="Times New Roman"/>
          <w:b/>
          <w:bCs/>
          <w:sz w:val="22"/>
          <w:szCs w:val="22"/>
        </w:rPr>
      </w:r>
    </w:p>
    <w:p>
      <w:pPr>
        <w:pStyle w:val="845"/>
        <w:pBdr/>
        <w:spacing w:line="276" w:lineRule="auto"/>
        <w:ind/>
        <w:jc w:val="both"/>
        <w:rPr>
          <w:rFonts w:ascii="Times New Roman" w:hAnsi="Times New Roman" w:cs="Times New Roman"/>
          <w:b/>
          <w:sz w:val="22"/>
          <w:szCs w:val="22"/>
        </w:rPr>
      </w:pPr>
      <w:r>
        <w:rPr>
          <w:rFonts w:eastAsia="Times New Roman" w:cs="Times New Roman"/>
          <w:b/>
          <w:sz w:val="22"/>
          <w:szCs w:val="22"/>
        </w:rPr>
        <w:t xml:space="preserve">w sprawie konsultacji społecznych z mieszkańcami Gminy Braniewo projektu dokumentu pn. </w:t>
      </w:r>
      <w:r>
        <w:rPr>
          <w:rFonts w:eastAsia="Times New Roman" w:cs="Times New Roman"/>
          <w:b/>
          <w:bCs/>
          <w:sz w:val="22"/>
          <w:szCs w:val="22"/>
        </w:rPr>
        <w:t xml:space="preserve">„Lokalny Plan Deinstytucjonalizacji Usług Społecznych w Gminie Braniewo                                           na lata 2026-2030”</w:t>
      </w:r>
      <w:r>
        <w:rPr>
          <w:rFonts w:ascii="Times New Roman" w:hAnsi="Times New Roman" w:cs="Times New Roman"/>
          <w:b/>
          <w:sz w:val="22"/>
          <w:szCs w:val="22"/>
        </w:rPr>
      </w:r>
      <w:r>
        <w:rPr>
          <w:rFonts w:ascii="Times New Roman" w:hAnsi="Times New Roman" w:cs="Times New Roman"/>
          <w:b/>
          <w:sz w:val="22"/>
          <w:szCs w:val="22"/>
        </w:rPr>
      </w:r>
    </w:p>
    <w:p>
      <w:pPr>
        <w:pStyle w:val="845"/>
        <w:pBdr/>
        <w:spacing w:line="276" w:lineRule="auto"/>
        <w:ind w:firstLine="708"/>
        <w:jc w:val="both"/>
        <w:rPr>
          <w:rFonts w:ascii="Times New Roman" w:hAnsi="Times New Roman" w:cs="Times New Roman"/>
          <w:bCs w:val="0"/>
          <w:i w:val="0"/>
          <w:iCs/>
          <w:sz w:val="22"/>
          <w:szCs w:val="22"/>
        </w:rPr>
      </w:pPr>
      <w:r>
        <w:rPr>
          <w:rFonts w:eastAsia="Times New Roman" w:cs="Times New Roman"/>
          <w:bCs/>
          <w:i w:val="0"/>
          <w:iCs w:val="0"/>
          <w:sz w:val="22"/>
          <w:szCs w:val="22"/>
        </w:rPr>
        <w:t xml:space="preserve">Na podstawie § 5 ust. 1 </w:t>
      </w:r>
      <w:r>
        <w:rPr>
          <w:rFonts w:eastAsia="Times New Roman" w:cs="Times New Roman"/>
          <w:i w:val="0"/>
          <w:iCs w:val="0"/>
          <w:sz w:val="22"/>
          <w:szCs w:val="22"/>
        </w:rPr>
        <w:t xml:space="preserve">U</w:t>
      </w:r>
      <w:r>
        <w:rPr>
          <w:rFonts w:eastAsia="Times New Roman" w:cs="Times New Roman"/>
          <w:i w:val="0"/>
          <w:iCs w:val="0"/>
          <w:sz w:val="22"/>
          <w:szCs w:val="22"/>
        </w:rPr>
        <w:t xml:space="preserve">chwały Nr 77/V/200</w:t>
      </w:r>
      <w:r>
        <w:rPr>
          <w:rFonts w:eastAsia="Times New Roman" w:cs="Times New Roman"/>
          <w:i w:val="0"/>
          <w:iCs w:val="0"/>
          <w:sz w:val="22"/>
          <w:szCs w:val="22"/>
        </w:rPr>
        <w:t xml:space="preserve">8 Rady Gminy Braniewo                                               z dnia 30 grudnia 2008 roku w sprawie określenia zasad i trybu przeprowadzenia konsultacji                     z mieszkańcami gminy Braniewo (Dz. Urz. Woj. Warm.-Mazur. z 2009 r.poz. 456).</w:t>
      </w:r>
      <w:r>
        <w:rPr>
          <w:rFonts w:ascii="Times New Roman" w:hAnsi="Times New Roman" w:cs="Times New Roman"/>
          <w:bCs w:val="0"/>
          <w:i w:val="0"/>
          <w:iCs/>
          <w:sz w:val="22"/>
          <w:szCs w:val="22"/>
        </w:rPr>
      </w:r>
      <w:r>
        <w:rPr>
          <w:rFonts w:ascii="Times New Roman" w:hAnsi="Times New Roman" w:cs="Times New Roman"/>
          <w:bCs w:val="0"/>
          <w:i w:val="0"/>
          <w:iCs/>
          <w:sz w:val="22"/>
          <w:szCs w:val="22"/>
        </w:rPr>
      </w:r>
    </w:p>
    <w:p>
      <w:pPr>
        <w:pStyle w:val="845"/>
        <w:pBdr/>
        <w:spacing w:line="276" w:lineRule="auto"/>
        <w:ind w:firstLine="708"/>
        <w:jc w:val="both"/>
        <w:rPr>
          <w:rFonts w:ascii="Times New Roman" w:hAnsi="Times New Roman" w:cs="Times New Roman"/>
          <w:sz w:val="22"/>
          <w:szCs w:val="22"/>
        </w:rPr>
      </w:pPr>
      <w:r>
        <w:rPr>
          <w:rFonts w:eastAsia="Times New Roman" w:cs="Times New Roman"/>
          <w:sz w:val="22"/>
          <w:szCs w:val="22"/>
        </w:rPr>
        <w:t xml:space="preserve">Celem konsultacji jest uzyskanie uwag, wniosków i opinii w sprawie projektu                                     dokumentu pn. „Lokalny Plan Deinstytucjonalizacji Usług Społecznych w Gminie Braniewo na lata 2026-2030”.</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708"/>
        <w:jc w:val="both"/>
        <w:rPr>
          <w:rFonts w:ascii="Times New Roman" w:hAnsi="Times New Roman" w:cs="Times New Roman"/>
          <w:sz w:val="22"/>
          <w:szCs w:val="22"/>
        </w:rPr>
      </w:pPr>
      <w:r>
        <w:rPr>
          <w:rFonts w:eastAsia="Times New Roman" w:cs="Times New Roman"/>
          <w:sz w:val="22"/>
          <w:szCs w:val="22"/>
        </w:rPr>
        <w:t xml:space="preserve">Termin przeprowadzenia konsultacji społecznych: od dnia 29 czerwca 2026 do dnia 13 lipca 2026 roku.</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Uprawnionymi do udziału w konsultacjach społecznych są mieszkańcy stale zamieszkujący na terenie Gminy Braniewo, którzy w dniu konsultacji posiadają  czynne prawo wyborcze.</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Konsultacje społeczne przeprowadzone zostaną  w trybie określonym w § 6 pkt 2 uchwały Nr 77/V/2008 Rady Gminy Braniewo z dnia 30 grudnia 2008 roku w sprawie określenia zasad i trybu przeprowadzenia konsultacji z mieszkańcami gminy Braniewo </w:t>
      </w:r>
      <w:r>
        <w:rPr>
          <w:rFonts w:eastAsia="Times New Roman" w:cs="Times New Roman"/>
          <w:i w:val="0"/>
          <w:iCs w:val="0"/>
          <w:sz w:val="22"/>
          <w:szCs w:val="22"/>
        </w:rPr>
        <w:t xml:space="preserve">(Dz. Urz. Woj. Warm.-Mazur. z 2009 r.poz. 456</w:t>
      </w:r>
      <w:r>
        <w:rPr>
          <w:rFonts w:eastAsia="Times New Roman" w:cs="Times New Roman"/>
          <w:i/>
          <w:iCs/>
          <w:sz w:val="22"/>
          <w:szCs w:val="22"/>
        </w:rPr>
        <w:t xml:space="preserve">) </w:t>
      </w:r>
      <w:r>
        <w:rPr>
          <w:rFonts w:eastAsia="Times New Roman" w:cs="Times New Roman"/>
          <w:sz w:val="22"/>
          <w:szCs w:val="22"/>
        </w:rPr>
        <w:t xml:space="preserve">poprzez indywidualne zbieranie głosów na formularzu zgłaszania uwag stanowiącym załącznik nr 2 do niniejszej uchwały.</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Projekt lokalnego planu wraz z formularzem zgłaszania uwag dostępny jest w Urzędzie Gminy Braniewo, pokój nr 11, na stronie internetowej Gminy Braniewo -</w:t>
      </w:r>
      <w:hyperlink r:id="rId9" w:tooltip="http://www.gminabraniewo.pl" w:history="1">
        <w:r>
          <w:rPr>
            <w:rStyle w:val="902"/>
            <w:rFonts w:eastAsia="Times New Roman" w:cs="Times New Roman"/>
            <w:sz w:val="22"/>
            <w:szCs w:val="22"/>
          </w:rPr>
          <w:t xml:space="preserve">www.gminabraniewo.pl</w:t>
        </w:r>
      </w:hyperlink>
      <w:r>
        <w:rPr>
          <w:rFonts w:eastAsia="Times New Roman" w:cs="Times New Roman"/>
          <w:sz w:val="22"/>
          <w:szCs w:val="22"/>
        </w:rPr>
        <w:t xml:space="preserve">, oraz w Biuletynie Informacji Publicznej Urzędu Gminy Braniewo - </w:t>
      </w:r>
      <w:hyperlink r:id="rId10" w:tooltip="http://www.bipbraniewo.warmia.mazury.pl" w:history="1">
        <w:r>
          <w:rPr>
            <w:rStyle w:val="902"/>
            <w:rFonts w:eastAsia="Times New Roman" w:cs="Times New Roman"/>
            <w:sz w:val="22"/>
            <w:szCs w:val="22"/>
          </w:rPr>
          <w:t xml:space="preserve">www.bipbraniewo.warmia.mazury.pl</w:t>
        </w:r>
      </w:hyperlink>
      <w:r>
        <w:rPr>
          <w:rFonts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Wypełnione formularze należy składać w w/w terminie pocztą w formie pisemnej na adres: Urząd Gminy Braniewo, ul. Moniuszki 5, 14-500 Braniewo bądź </w:t>
      </w:r>
      <w:r>
        <w:rPr>
          <w:rFonts w:eastAsia="Times New Roman" w:cs="Times New Roman"/>
          <w:sz w:val="22"/>
          <w:szCs w:val="22"/>
        </w:rPr>
        <w:t xml:space="preserve">osobiście w Urzędzie Gminy Braniewo, ul. Moniuszki 5, 14-500 Braniewo, pokój nr 11 w godzinach pracy urzędu. Formularze nie posiadające podpisu nie będą rozpatrywane. O terminie decyduje data wpłynięcia formularza zgłaszania uwag  do Urzędu Gminy Braniewo.</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Ogłoszenie w sprawie przeprowadzenia konsultacji społecznych zostanie podanie                          do publicznej wiadomości  poprzez wywieszenie na tablicy ogłoszeń Urzędu Gminy Braniewo, opublikowane na stronie internetowej Gminy Braniewo – </w:t>
      </w:r>
      <w:hyperlink r:id="rId11" w:tooltip="http://www.gminabraniewo.pl" w:history="1">
        <w:r>
          <w:rPr>
            <w:rStyle w:val="902"/>
            <w:rFonts w:eastAsia="Times New Roman" w:cs="Times New Roman"/>
            <w:sz w:val="22"/>
            <w:szCs w:val="22"/>
          </w:rPr>
          <w:t xml:space="preserve">www.gminabraniewo.pl</w:t>
        </w:r>
      </w:hyperlink>
      <w:r>
        <w:rPr>
          <w:rFonts w:eastAsia="Times New Roman" w:cs="Times New Roman"/>
          <w:sz w:val="22"/>
          <w:szCs w:val="22"/>
        </w:rPr>
        <w:t xml:space="preserve"> oraz opublikowane w Biuletynie Informacji Publicznej Gminy Braniewo – www.bipbraniewo.warmia.mazury.pl.</w:t>
      </w:r>
      <w:r>
        <w:rPr>
          <w:rFonts w:ascii="Times New Roman" w:hAnsi="Times New Roman" w:cs="Times New Roman"/>
          <w:sz w:val="22"/>
          <w:szCs w:val="22"/>
        </w:rPr>
      </w:r>
      <w:r>
        <w:rPr>
          <w:rFonts w:ascii="Times New Roman" w:hAnsi="Times New Roman" w:cs="Times New Roman"/>
          <w:sz w:val="22"/>
          <w:szCs w:val="22"/>
        </w:rPr>
      </w:r>
    </w:p>
    <w:p>
      <w:pPr>
        <w:pStyle w:val="845"/>
        <w:pBdr/>
        <w:spacing w:line="276" w:lineRule="auto"/>
        <w:ind w:firstLine="426"/>
        <w:jc w:val="both"/>
        <w:rPr>
          <w:rFonts w:ascii="Times New Roman" w:hAnsi="Times New Roman" w:cs="Times New Roman"/>
          <w:sz w:val="22"/>
          <w:szCs w:val="22"/>
        </w:rPr>
      </w:pPr>
      <w:r>
        <w:rPr>
          <w:rFonts w:eastAsia="Times New Roman" w:cs="Times New Roman"/>
          <w:sz w:val="22"/>
          <w:szCs w:val="22"/>
        </w:rPr>
        <w:t xml:space="preserve">Z przebiegu konsultacji zosta</w:t>
      </w:r>
      <w:r>
        <w:rPr>
          <w:rFonts w:eastAsia="Times New Roman" w:cs="Times New Roman"/>
          <w:sz w:val="22"/>
          <w:szCs w:val="22"/>
        </w:rPr>
        <w:t xml:space="preserve">nie sporządzone sprawozdanie zawierające informacje                             o wynikach konsultacji i podanie do publicznej wiadomości poprzez wywieszenie na tablicy ogłoszeń Urzędu Gminy Braniewo, opublikowanie na stronie internetowej Gminy Braniewo – </w:t>
      </w:r>
      <w:hyperlink r:id="rId12" w:tooltip="http://www.gminabraniewo.pl" w:history="1">
        <w:r>
          <w:rPr>
            <w:rStyle w:val="902"/>
            <w:rFonts w:eastAsia="Times New Roman" w:cs="Times New Roman"/>
            <w:sz w:val="22"/>
            <w:szCs w:val="22"/>
          </w:rPr>
          <w:t xml:space="preserve">www.gminabraniewo.pl</w:t>
        </w:r>
      </w:hyperlink>
      <w:r>
        <w:rPr>
          <w:rFonts w:eastAsia="Times New Roman" w:cs="Times New Roman"/>
          <w:sz w:val="22"/>
          <w:szCs w:val="22"/>
        </w:rPr>
        <w:t xml:space="preserve"> oraz opublikowane w Biuletynie Informacji Publicznej Gminy Braniewo – </w:t>
      </w:r>
      <w:hyperlink r:id="rId13" w:tooltip="http://www.bipbraniewo.warmia.mazury.pl" w:history="1">
        <w:r>
          <w:rPr>
            <w:rStyle w:val="902"/>
            <w:rFonts w:eastAsia="Times New Roman" w:cs="Times New Roman"/>
            <w:sz w:val="22"/>
            <w:szCs w:val="22"/>
          </w:rPr>
          <w:t xml:space="preserve">www.bipbraniewo.warmia.mazury.pl</w:t>
        </w:r>
      </w:hyperlink>
      <w:r>
        <w:rPr>
          <w:rFonts w:eastAsia="Times New Roman" w:cs="Times New Roman"/>
          <w:sz w:val="22"/>
          <w:szCs w:val="22"/>
        </w:rPr>
        <w:t xml:space="preserve">. w terminie 3 dni od zakończenia konsultacji.</w:t>
      </w:r>
      <w:r>
        <w:rPr>
          <w:rFonts w:ascii="Times New Roman" w:hAnsi="Times New Roman" w:cs="Times New Roman"/>
          <w:sz w:val="22"/>
          <w:szCs w:val="22"/>
        </w:rPr>
      </w:r>
      <w:r>
        <w:rPr>
          <w:rFonts w:ascii="Times New Roman" w:hAnsi="Times New Roman" w:cs="Times New Roman"/>
          <w:sz w:val="22"/>
          <w:szCs w:val="22"/>
        </w:rPr>
      </w:r>
    </w:p>
    <w:p>
      <w:pPr>
        <w:pStyle w:val="906"/>
        <w:pBdr/>
        <w:spacing w:after="0" w:before="0"/>
        <w:ind/>
        <w:jc w:val="left"/>
        <w:rPr>
          <w:rFonts w:ascii="Times New Roman" w:hAnsi="Times New Roman" w:eastAsia="Times New Roman" w:cs="Times New Roman"/>
          <w:b/>
          <w:bCs/>
          <w:color w:val="ff0000"/>
          <w:sz w:val="20"/>
          <w:szCs w:val="20"/>
        </w:rPr>
      </w:pPr>
      <w:r>
        <w:rPr>
          <w:rFonts w:ascii="Times New Roman" w:hAnsi="Times New Roman" w:eastAsia="Times New Roman" w:cs="Times New Roman"/>
          <w:b/>
          <w:bCs/>
          <w:color w:val="ff0000"/>
          <w:sz w:val="20"/>
          <w:szCs w:val="20"/>
        </w:rPr>
        <w:t xml:space="preserve">                                                                                                           </w:t>
      </w:r>
      <w:r>
        <w:rPr>
          <w:rFonts w:ascii="Times New Roman" w:hAnsi="Times New Roman" w:eastAsia="Times New Roman" w:cs="Times New Roman"/>
          <w:b/>
          <w:bCs/>
          <w:color w:val="ff0000"/>
          <w:sz w:val="20"/>
          <w:szCs w:val="20"/>
        </w:rPr>
      </w:r>
      <w:r>
        <w:rPr>
          <w:rFonts w:ascii="Times New Roman" w:hAnsi="Times New Roman" w:eastAsia="Times New Roman" w:cs="Times New Roman"/>
          <w:b/>
          <w:bCs/>
          <w:color w:val="ff0000"/>
          <w:sz w:val="20"/>
          <w:szCs w:val="20"/>
        </w:rPr>
      </w:r>
    </w:p>
    <w:p w14:paraId="60F6565A">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34BF6903">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55EFB1A1">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rPr>
        <w:t xml:space="preserve">                                                                                    </w:t>
      </w:r>
      <w:r>
        <w:rPr>
          <w:rFonts w:ascii="Times New Roman" w:hAnsi="Times New Roman" w:eastAsia="Times New Roman" w:cs="Times New Roman"/>
          <w:b/>
          <w:bCs/>
          <w:color w:val="ff0000"/>
          <w:sz w:val="20"/>
          <w:szCs w:val="20"/>
          <w:highlight w:val="none"/>
        </w:rPr>
      </w:r>
    </w:p>
    <w:p w14:paraId="729E2C2D">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4A537EA0">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234F6937">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5561B478">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7E49BB10">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14D3577F">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14:paraId="68AF4E60">
      <w:pPr>
        <w:pStyle w:val="906"/>
        <w:pBdr/>
        <w:spacing w:after="0" w:before="0"/>
        <w:ind/>
        <w:jc w:val="left"/>
        <w:rPr>
          <w:rFonts w:ascii="Times New Roman" w:hAnsi="Times New Roman" w:eastAsia="Times New Roman" w:cs="Times New Roman"/>
          <w:b/>
          <w:bCs/>
          <w:color w:val="ff0000"/>
          <w:sz w:val="20"/>
          <w:szCs w:val="20"/>
          <w:highlight w:val="none"/>
        </w:rPr>
      </w:pP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r>
        <w:rPr>
          <w:rFonts w:ascii="Times New Roman" w:hAnsi="Times New Roman" w:eastAsia="Times New Roman" w:cs="Times New Roman"/>
          <w:b/>
          <w:bCs/>
          <w:color w:val="ff0000"/>
          <w:sz w:val="20"/>
          <w:szCs w:val="20"/>
          <w:highlight w:val="none"/>
        </w:rPr>
      </w:r>
    </w:p>
    <w:p>
      <w:pPr>
        <w:pStyle w:val="845"/>
        <w:pBdr/>
        <w:spacing w:line="276" w:lineRule="auto"/>
        <w:ind/>
        <w:jc w:val="right"/>
        <w:rPr>
          <w:rFonts w:ascii="Times New Roman" w:hAnsi="Times New Roman" w:cs="Times New Roman"/>
          <w:b/>
          <w:sz w:val="20"/>
          <w:szCs w:val="20"/>
        </w:rPr>
      </w:pPr>
      <w:r>
        <w:rPr>
          <w:rFonts w:eastAsia="Times New Roman" w:cs="Times New Roman"/>
          <w:b/>
          <w:sz w:val="20"/>
          <w:szCs w:val="20"/>
        </w:rPr>
      </w:r>
      <w:r>
        <w:rPr>
          <w:rFonts w:ascii="Times New Roman" w:hAnsi="Times New Roman" w:cs="Times New Roman"/>
          <w:b/>
          <w:sz w:val="20"/>
          <w:szCs w:val="20"/>
        </w:rPr>
      </w:r>
      <w:r>
        <w:rPr>
          <w:rFonts w:ascii="Times New Roman" w:hAnsi="Times New Roman" w:cs="Times New Roman"/>
          <w:b/>
          <w:sz w:val="20"/>
          <w:szCs w:val="20"/>
        </w:rPr>
      </w:r>
    </w:p>
    <w:p>
      <w:pPr>
        <w:pStyle w:val="845"/>
        <w:pBdr/>
        <w:spacing w:line="276" w:lineRule="auto"/>
        <w:ind/>
        <w:jc w:val="right"/>
        <w:rPr>
          <w:rFonts w:ascii="Times New Roman" w:hAnsi="Times New Roman" w:cs="Times New Roman"/>
          <w:b/>
          <w:sz w:val="20"/>
          <w:szCs w:val="20"/>
        </w:rPr>
      </w:pPr>
      <w:r>
        <w:rPr>
          <w:rFonts w:eastAsia="Times New Roman" w:cs="Times New Roman"/>
          <w:b/>
          <w:sz w:val="20"/>
          <w:szCs w:val="20"/>
        </w:rPr>
        <w:t xml:space="preserve">ZAŁĄCZNIK NR 2 </w:t>
      </w:r>
      <w:r>
        <w:rPr>
          <w:rFonts w:ascii="Times New Roman" w:hAnsi="Times New Roman" w:cs="Times New Roman"/>
          <w:b/>
          <w:sz w:val="20"/>
          <w:szCs w:val="20"/>
        </w:rPr>
      </w:r>
      <w:r>
        <w:rPr>
          <w:rFonts w:ascii="Times New Roman" w:hAnsi="Times New Roman" w:cs="Times New Roman"/>
          <w:b/>
          <w:sz w:val="20"/>
          <w:szCs w:val="20"/>
        </w:rPr>
      </w:r>
    </w:p>
    <w:p>
      <w:pPr>
        <w:pStyle w:val="845"/>
        <w:pBdr/>
        <w:spacing w:line="276" w:lineRule="auto"/>
        <w:ind/>
        <w:jc w:val="right"/>
        <w:rPr>
          <w:rFonts w:ascii="Times New Roman" w:hAnsi="Times New Roman" w:cs="Times New Roman"/>
          <w:b/>
          <w:sz w:val="20"/>
          <w:szCs w:val="20"/>
        </w:rPr>
      </w:pPr>
      <w:r>
        <w:rPr>
          <w:rFonts w:eastAsia="Times New Roman" w:cs="Times New Roman"/>
          <w:b/>
          <w:sz w:val="20"/>
          <w:szCs w:val="20"/>
        </w:rPr>
        <w:t xml:space="preserve">                                                                      </w:t>
      </w:r>
      <w:r>
        <w:rPr>
          <w:rFonts w:eastAsia="Times New Roman" w:cs="Times New Roman"/>
          <w:b/>
          <w:sz w:val="20"/>
          <w:szCs w:val="20"/>
        </w:rPr>
        <w:t xml:space="preserve">DO UCHWAŁY  NR 53/IX/2026</w:t>
      </w:r>
      <w:r>
        <w:rPr>
          <w:rFonts w:ascii="Times New Roman" w:hAnsi="Times New Roman" w:cs="Times New Roman"/>
          <w:b/>
          <w:sz w:val="20"/>
          <w:szCs w:val="20"/>
        </w:rPr>
      </w:r>
      <w:r>
        <w:rPr>
          <w:rFonts w:ascii="Times New Roman" w:hAnsi="Times New Roman" w:cs="Times New Roman"/>
          <w:b/>
          <w:sz w:val="20"/>
          <w:szCs w:val="20"/>
        </w:rPr>
      </w:r>
    </w:p>
    <w:p>
      <w:pPr>
        <w:pStyle w:val="845"/>
        <w:pBdr/>
        <w:spacing w:line="276" w:lineRule="auto"/>
        <w:ind w:left="3540"/>
        <w:jc w:val="right"/>
        <w:rPr>
          <w:rFonts w:ascii="Times New Roman" w:hAnsi="Times New Roman" w:cs="Times New Roman"/>
          <w:b/>
          <w:sz w:val="20"/>
          <w:szCs w:val="20"/>
        </w:rPr>
      </w:pPr>
      <w:r>
        <w:rPr>
          <w:rFonts w:eastAsia="Times New Roman" w:cs="Times New Roman"/>
          <w:b/>
          <w:sz w:val="20"/>
          <w:szCs w:val="20"/>
        </w:rPr>
        <w:t xml:space="preserve">           </w:t>
      </w:r>
      <w:r>
        <w:rPr>
          <w:rFonts w:eastAsia="Times New Roman" w:cs="Times New Roman"/>
          <w:b/>
          <w:sz w:val="20"/>
          <w:szCs w:val="20"/>
        </w:rPr>
        <w:t xml:space="preserve">RADY GMINY BRANIEWO</w:t>
      </w:r>
      <w:r>
        <w:rPr>
          <w:rFonts w:ascii="Times New Roman" w:hAnsi="Times New Roman" w:cs="Times New Roman"/>
          <w:b/>
          <w:sz w:val="20"/>
          <w:szCs w:val="20"/>
        </w:rPr>
      </w:r>
      <w:r>
        <w:rPr>
          <w:rFonts w:ascii="Times New Roman" w:hAnsi="Times New Roman" w:cs="Times New Roman"/>
          <w:b/>
          <w:sz w:val="20"/>
          <w:szCs w:val="20"/>
        </w:rPr>
      </w:r>
    </w:p>
    <w:p>
      <w:pPr>
        <w:pStyle w:val="845"/>
        <w:pBdr/>
        <w:spacing w:line="276" w:lineRule="auto"/>
        <w:ind w:left="3540"/>
        <w:jc w:val="right"/>
        <w:rPr>
          <w:rFonts w:ascii="Times New Roman" w:hAnsi="Times New Roman" w:cs="Times New Roman"/>
          <w:b/>
          <w:sz w:val="20"/>
          <w:szCs w:val="20"/>
        </w:rPr>
      </w:pPr>
      <w:r>
        <w:rPr>
          <w:rFonts w:eastAsia="Times New Roman" w:cs="Times New Roman"/>
          <w:b/>
          <w:sz w:val="20"/>
          <w:szCs w:val="20"/>
        </w:rPr>
        <w:t xml:space="preserve">           </w:t>
      </w:r>
      <w:r>
        <w:rPr>
          <w:rFonts w:eastAsia="Times New Roman" w:cs="Times New Roman"/>
          <w:b/>
          <w:sz w:val="20"/>
          <w:szCs w:val="20"/>
        </w:rPr>
        <w:t xml:space="preserve">Z DNIA 26 CZERWCA 2026 ROKU</w:t>
      </w:r>
      <w:r>
        <w:rPr>
          <w:rFonts w:ascii="Times New Roman" w:hAnsi="Times New Roman" w:cs="Times New Roman"/>
          <w:b/>
          <w:sz w:val="20"/>
          <w:szCs w:val="20"/>
        </w:rPr>
      </w:r>
      <w:r>
        <w:rPr>
          <w:rFonts w:ascii="Times New Roman" w:hAnsi="Times New Roman" w:cs="Times New Roman"/>
          <w:b/>
          <w:sz w:val="20"/>
          <w:szCs w:val="20"/>
        </w:rPr>
      </w:r>
    </w:p>
    <w:p>
      <w:pPr>
        <w:pStyle w:val="845"/>
        <w:pBdr/>
        <w:spacing/>
        <w:ind/>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jc w:val="center"/>
        <w:rPr>
          <w:rFonts w:ascii="Times New Roman" w:hAnsi="Times New Roman" w:cs="Times New Roman"/>
          <w:b/>
          <w:bCs/>
          <w:sz w:val="22"/>
          <w:szCs w:val="22"/>
          <w:u w:val="single"/>
        </w:rPr>
      </w:pPr>
      <w:r>
        <w:rPr>
          <w:rFonts w:eastAsia="Times New Roman" w:cs="Times New Roman"/>
          <w:b/>
          <w:bCs/>
          <w:sz w:val="22"/>
          <w:szCs w:val="22"/>
          <w:u w:val="single"/>
        </w:rPr>
        <w:t xml:space="preserve">FORMULARZ ZGŁASZANIA UWAG</w:t>
      </w:r>
      <w:r>
        <w:rPr>
          <w:rFonts w:ascii="Times New Roman" w:hAnsi="Times New Roman" w:cs="Times New Roman"/>
          <w:b/>
          <w:bCs/>
          <w:sz w:val="22"/>
          <w:szCs w:val="22"/>
          <w:u w:val="single"/>
        </w:rPr>
      </w:r>
      <w:r>
        <w:rPr>
          <w:rFonts w:ascii="Times New Roman" w:hAnsi="Times New Roman" w:cs="Times New Roman"/>
          <w:b/>
          <w:bCs/>
          <w:sz w:val="22"/>
          <w:szCs w:val="22"/>
          <w:u w:val="single"/>
        </w:rPr>
      </w:r>
    </w:p>
    <w:p>
      <w:pPr>
        <w:pStyle w:val="845"/>
        <w:pBdr/>
        <w:spacing/>
        <w:ind/>
        <w:jc w:val="both"/>
        <w:rPr>
          <w:rFonts w:ascii="Times New Roman" w:hAnsi="Times New Roman" w:cs="Times New Roman"/>
          <w:b/>
          <w:bCs/>
          <w:sz w:val="22"/>
          <w:szCs w:val="22"/>
        </w:rPr>
      </w:pPr>
      <w:r>
        <w:rPr>
          <w:rFonts w:cs="Times New Roman"/>
          <w:b/>
          <w:bCs/>
          <w:sz w:val="22"/>
          <w:szCs w:val="22"/>
        </w:rPr>
      </w:r>
      <w:r>
        <w:rPr>
          <w:rFonts w:ascii="Times New Roman" w:hAnsi="Times New Roman" w:cs="Times New Roman"/>
          <w:b/>
          <w:bCs/>
          <w:sz w:val="22"/>
          <w:szCs w:val="22"/>
        </w:rPr>
      </w:r>
      <w:r>
        <w:rPr>
          <w:rFonts w:ascii="Times New Roman" w:hAnsi="Times New Roman" w:cs="Times New Roman"/>
          <w:b/>
          <w:bCs/>
          <w:sz w:val="22"/>
          <w:szCs w:val="22"/>
        </w:rPr>
      </w:r>
    </w:p>
    <w:p>
      <w:pPr>
        <w:pStyle w:val="845"/>
        <w:pBdr/>
        <w:spacing/>
        <w:ind/>
        <w:jc w:val="center"/>
        <w:rPr>
          <w:rFonts w:ascii="Times New Roman" w:hAnsi="Times New Roman" w:cs="Times New Roman"/>
          <w:b/>
          <w:bCs/>
          <w:sz w:val="22"/>
          <w:szCs w:val="22"/>
        </w:rPr>
      </w:pPr>
      <w:r>
        <w:rPr>
          <w:rFonts w:eastAsia="Times New Roman" w:cs="Times New Roman"/>
          <w:b/>
          <w:bCs/>
          <w:sz w:val="22"/>
          <w:szCs w:val="22"/>
        </w:rPr>
        <w:t xml:space="preserve">Konsultacje społeczne projektu dokumentu pn. </w:t>
      </w:r>
      <w:r>
        <w:rPr>
          <w:rFonts w:ascii="Times New Roman" w:hAnsi="Times New Roman" w:cs="Times New Roman"/>
          <w:b/>
          <w:bCs/>
          <w:sz w:val="22"/>
          <w:szCs w:val="22"/>
        </w:rPr>
      </w:r>
      <w:r>
        <w:rPr>
          <w:rFonts w:ascii="Times New Roman" w:hAnsi="Times New Roman" w:cs="Times New Roman"/>
          <w:b/>
          <w:bCs/>
          <w:sz w:val="22"/>
          <w:szCs w:val="22"/>
        </w:rPr>
      </w:r>
    </w:p>
    <w:p>
      <w:pPr>
        <w:pStyle w:val="845"/>
        <w:pBdr/>
        <w:spacing/>
        <w:ind/>
        <w:jc w:val="center"/>
        <w:rPr>
          <w:rFonts w:ascii="Times New Roman" w:hAnsi="Times New Roman" w:cs="Times New Roman"/>
          <w:b/>
          <w:bCs/>
          <w:sz w:val="22"/>
          <w:szCs w:val="22"/>
          <w:highlight w:val="none"/>
        </w:rPr>
      </w:pPr>
      <w:r>
        <w:rPr>
          <w:rFonts w:eastAsia="Times New Roman" w:cs="Times New Roman"/>
          <w:b/>
          <w:bCs/>
          <w:sz w:val="22"/>
          <w:szCs w:val="22"/>
        </w:rPr>
        <w:t xml:space="preserve">„</w:t>
      </w:r>
      <w:r>
        <w:rPr>
          <w:rFonts w:eastAsia="Times New Roman" w:cs="Times New Roman"/>
          <w:b/>
          <w:bCs/>
          <w:sz w:val="22"/>
          <w:szCs w:val="22"/>
        </w:rPr>
        <w:t xml:space="preserve">Lokalny Plan Deinstytucjonalizacji Usług Społecznych w Gminie Braniewo                                                         na lata 2026-2030”</w:t>
      </w:r>
      <w:r>
        <w:rPr>
          <w:rFonts w:ascii="Times New Roman" w:hAnsi="Times New Roman" w:cs="Times New Roman"/>
          <w:b/>
          <w:bCs/>
          <w:sz w:val="22"/>
          <w:szCs w:val="22"/>
          <w:highlight w:val="none"/>
        </w:rPr>
      </w:r>
      <w:r>
        <w:rPr>
          <w:rFonts w:ascii="Times New Roman" w:hAnsi="Times New Roman" w:cs="Times New Roman"/>
          <w:b/>
          <w:bCs/>
          <w:sz w:val="22"/>
          <w:szCs w:val="22"/>
          <w:highlight w:val="none"/>
        </w:rPr>
      </w:r>
    </w:p>
    <w:p>
      <w:pPr>
        <w:pStyle w:val="845"/>
        <w:pBdr/>
        <w:spacing/>
        <w:ind/>
        <w:jc w:val="center"/>
        <w:rPr>
          <w:rFonts w:ascii="Times New Roman" w:hAnsi="Times New Roman" w:cs="Times New Roman"/>
          <w:b/>
          <w:bCs/>
        </w:rPr>
      </w:pPr>
      <w:r>
        <w:rPr>
          <w:rFonts w:cs="Times New Roman"/>
          <w:b/>
          <w:bCs/>
        </w:rPr>
      </w:r>
      <w:r>
        <w:rPr>
          <w:rFonts w:ascii="Times New Roman" w:hAnsi="Times New Roman" w:cs="Times New Roman"/>
          <w:b/>
          <w:bCs/>
        </w:rPr>
      </w:r>
      <w:r>
        <w:rPr>
          <w:rFonts w:ascii="Times New Roman" w:hAnsi="Times New Roman" w:cs="Times New Roman"/>
          <w:b/>
          <w:bCs/>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Wypełniony formularz należy przekazać najpóźniej do dnia 13 lipca 2026 roku.</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p>
      <w:pPr>
        <w:pStyle w:val="930"/>
        <w:numPr>
          <w:ilvl w:val="0"/>
          <w:numId w:val="1"/>
        </w:numPr>
        <w:pBdr/>
        <w:spacing w:after="0" w:before="0" w:line="276" w:lineRule="auto"/>
        <w:ind/>
        <w:contextualSpacing w:val="true"/>
        <w:jc w:val="both"/>
        <w:rPr>
          <w:rFonts w:ascii="Times New Roman" w:hAnsi="Times New Roman" w:cs="Times New Roman"/>
          <w:sz w:val="22"/>
          <w:szCs w:val="22"/>
        </w:rPr>
      </w:pPr>
      <w:r>
        <w:rPr>
          <w:rFonts w:ascii="Times New Roman" w:hAnsi="Times New Roman" w:eastAsia="Times New Roman" w:cs="Times New Roman"/>
          <w:sz w:val="22"/>
          <w:szCs w:val="22"/>
        </w:rPr>
        <w:t xml:space="preserve">pocztą w formie pisemnej na adres: Urząd Gminy Braniewo, ul. Moniuszki 5,                                         14-500 Braniewo.</w:t>
      </w:r>
      <w:r>
        <w:rPr>
          <w:rFonts w:ascii="Times New Roman" w:hAnsi="Times New Roman" w:cs="Times New Roman"/>
          <w:sz w:val="22"/>
          <w:szCs w:val="22"/>
        </w:rPr>
      </w:r>
      <w:r>
        <w:rPr>
          <w:rFonts w:ascii="Times New Roman" w:hAnsi="Times New Roman" w:cs="Times New Roman"/>
          <w:sz w:val="22"/>
          <w:szCs w:val="22"/>
        </w:rPr>
      </w:r>
    </w:p>
    <w:p>
      <w:pPr>
        <w:pStyle w:val="930"/>
        <w:numPr>
          <w:ilvl w:val="0"/>
          <w:numId w:val="1"/>
        </w:numPr>
        <w:pBdr/>
        <w:spacing w:after="160" w:before="0" w:line="276" w:lineRule="auto"/>
        <w:ind/>
        <w:contextualSpacing w:val="true"/>
        <w:jc w:val="both"/>
        <w:rPr>
          <w:rFonts w:ascii="Times New Roman" w:hAnsi="Times New Roman" w:cs="Times New Roman"/>
          <w:sz w:val="22"/>
          <w:szCs w:val="22"/>
        </w:rPr>
      </w:pPr>
      <w:r>
        <w:rPr>
          <w:rFonts w:ascii="Times New Roman" w:hAnsi="Times New Roman" w:eastAsia="Times New Roman" w:cs="Times New Roman"/>
          <w:sz w:val="22"/>
          <w:szCs w:val="22"/>
        </w:rPr>
        <w:t xml:space="preserve">osobiście w Urzędzie Gminy Braniewo, ul. Moniuszki 5, 14-500 Braniewo, pokój nr 11 w godzinach pracy urzędu.</w:t>
      </w:r>
      <w:r>
        <w:rPr>
          <w:rFonts w:ascii="Times New Roman" w:hAnsi="Times New Roman" w:cs="Times New Roman"/>
          <w:sz w:val="22"/>
          <w:szCs w:val="22"/>
        </w:rPr>
      </w:r>
      <w:r>
        <w:rPr>
          <w:rFonts w:ascii="Times New Roman" w:hAnsi="Times New Roman" w:cs="Times New Roman"/>
          <w:sz w:val="22"/>
          <w:szCs w:val="22"/>
        </w:rPr>
      </w:r>
    </w:p>
    <w:p>
      <w:pPr>
        <w:pStyle w:val="930"/>
        <w:pBdr/>
        <w:spacing w:after="0" w:before="0" w:line="240" w:lineRule="auto"/>
        <w:ind/>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b/>
          <w:bCs/>
          <w:sz w:val="22"/>
          <w:szCs w:val="22"/>
        </w:rPr>
      </w:pPr>
      <w:r>
        <w:rPr>
          <w:rFonts w:eastAsia="Times New Roman" w:cs="Times New Roman"/>
          <w:b/>
          <w:bCs/>
          <w:sz w:val="22"/>
          <w:szCs w:val="22"/>
        </w:rPr>
        <w:t xml:space="preserve">Informacja o osobie zgłaszającej uwagi:</w:t>
      </w:r>
      <w:r>
        <w:rPr>
          <w:rFonts w:ascii="Times New Roman" w:hAnsi="Times New Roman" w:cs="Times New Roman"/>
          <w:b/>
          <w:bCs/>
          <w:sz w:val="22"/>
          <w:szCs w:val="22"/>
        </w:rPr>
      </w:r>
      <w:r>
        <w:rPr>
          <w:rFonts w:ascii="Times New Roman" w:hAnsi="Times New Roman" w:cs="Times New Roman"/>
          <w:b/>
          <w:bCs/>
          <w:sz w:val="22"/>
          <w:szCs w:val="22"/>
        </w:rPr>
      </w:r>
    </w:p>
    <w:p>
      <w:pPr>
        <w:pStyle w:val="845"/>
        <w:pBdr/>
        <w:spacing/>
        <w:ind/>
        <w:jc w:val="both"/>
        <w:rPr>
          <w:rFonts w:ascii="Times New Roman" w:hAnsi="Times New Roman" w:cs="Times New Roman"/>
          <w:b/>
          <w:bCs/>
          <w:sz w:val="22"/>
          <w:szCs w:val="22"/>
        </w:rPr>
      </w:pPr>
      <w:r>
        <w:rPr>
          <w:rFonts w:cs="Times New Roman"/>
          <w:b/>
          <w:bCs/>
          <w:sz w:val="22"/>
          <w:szCs w:val="22"/>
        </w:rPr>
      </w:r>
      <w:r>
        <w:rPr>
          <w:rFonts w:ascii="Times New Roman" w:hAnsi="Times New Roman" w:cs="Times New Roman"/>
          <w:b/>
          <w:bCs/>
          <w:sz w:val="22"/>
          <w:szCs w:val="22"/>
        </w:rPr>
      </w:r>
      <w:r>
        <w:rPr>
          <w:rFonts w:ascii="Times New Roman" w:hAnsi="Times New Roman" w:cs="Times New Roman"/>
          <w:b/>
          <w:bCs/>
          <w:sz w:val="22"/>
          <w:szCs w:val="22"/>
        </w:rPr>
      </w:r>
    </w:p>
    <w:p>
      <w:pPr>
        <w:pStyle w:val="845"/>
        <w:pBdr/>
        <w:spacing w:after="120" w:before="0"/>
        <w:ind/>
        <w:jc w:val="both"/>
        <w:rPr>
          <w:rFonts w:ascii="Times New Roman" w:hAnsi="Times New Roman" w:cs="Times New Roman"/>
          <w:sz w:val="22"/>
          <w:szCs w:val="22"/>
        </w:rPr>
      </w:pPr>
      <w:r>
        <w:rPr>
          <w:rFonts w:eastAsia="Times New Roman" w:cs="Times New Roman"/>
          <w:sz w:val="22"/>
          <w:szCs w:val="22"/>
        </w:rPr>
        <w:t xml:space="preserve">Imię i nazwisko ……………………………………………………............................................</w:t>
      </w:r>
      <w:r>
        <w:rPr>
          <w:rFonts w:ascii="Times New Roman" w:hAnsi="Times New Roman" w:cs="Times New Roman"/>
          <w:sz w:val="22"/>
          <w:szCs w:val="22"/>
        </w:rPr>
      </w:r>
      <w:r>
        <w:rPr>
          <w:rFonts w:ascii="Times New Roman" w:hAnsi="Times New Roman" w:cs="Times New Roman"/>
          <w:sz w:val="22"/>
          <w:szCs w:val="22"/>
        </w:rPr>
      </w:r>
    </w:p>
    <w:p>
      <w:pPr>
        <w:pStyle w:val="845"/>
        <w:pBdr/>
        <w:spacing w:after="120" w:before="0"/>
        <w:ind/>
        <w:jc w:val="both"/>
        <w:rPr>
          <w:rFonts w:ascii="Times New Roman" w:hAnsi="Times New Roman" w:cs="Times New Roman"/>
          <w:sz w:val="22"/>
          <w:szCs w:val="22"/>
        </w:rPr>
      </w:pPr>
      <w:r>
        <w:rPr>
          <w:rFonts w:eastAsia="Times New Roman" w:cs="Times New Roman"/>
          <w:sz w:val="22"/>
          <w:szCs w:val="22"/>
        </w:rPr>
        <w:t xml:space="preserve">Miejscowość……………………………………………………………………………………..</w:t>
      </w:r>
      <w:r>
        <w:rPr>
          <w:rFonts w:ascii="Times New Roman" w:hAnsi="Times New Roman" w:cs="Times New Roman"/>
          <w:sz w:val="22"/>
          <w:szCs w:val="22"/>
        </w:rPr>
      </w:r>
      <w:r>
        <w:rPr>
          <w:rFonts w:ascii="Times New Roman" w:hAnsi="Times New Roman" w:cs="Times New Roman"/>
          <w:sz w:val="22"/>
          <w:szCs w:val="22"/>
        </w:rPr>
      </w:r>
    </w:p>
    <w:p>
      <w:pPr>
        <w:pStyle w:val="845"/>
        <w:pBdr/>
        <w:spacing w:after="120" w:before="0"/>
        <w:ind/>
        <w:jc w:val="both"/>
        <w:rPr>
          <w:rFonts w:ascii="Times New Roman" w:hAnsi="Times New Roman" w:cs="Times New Roman"/>
          <w:sz w:val="22"/>
          <w:szCs w:val="22"/>
        </w:rPr>
      </w:pPr>
      <w:r>
        <w:rPr>
          <w:rFonts w:eastAsia="Times New Roman" w:cs="Times New Roman"/>
          <w:sz w:val="22"/>
          <w:szCs w:val="22"/>
        </w:rPr>
        <w:t xml:space="preserve">Nazwa organizacji lub instytucji/osoba prywatna ………………………………………………</w:t>
      </w:r>
      <w:r>
        <w:rPr>
          <w:rFonts w:ascii="Times New Roman" w:hAnsi="Times New Roman" w:cs="Times New Roman"/>
          <w:sz w:val="22"/>
          <w:szCs w:val="22"/>
        </w:rPr>
      </w:r>
      <w:r>
        <w:rPr>
          <w:rFonts w:ascii="Times New Roman" w:hAnsi="Times New Roman" w:cs="Times New Roman"/>
          <w:sz w:val="22"/>
          <w:szCs w:val="22"/>
        </w:rPr>
      </w:r>
    </w:p>
    <w:p>
      <w:pPr>
        <w:pStyle w:val="845"/>
        <w:pBdr/>
        <w:spacing w:after="120" w:before="0"/>
        <w:ind/>
        <w:jc w:val="both"/>
        <w:rPr>
          <w:rFonts w:ascii="Times New Roman" w:hAnsi="Times New Roman" w:cs="Times New Roman"/>
          <w:sz w:val="22"/>
          <w:szCs w:val="22"/>
        </w:rPr>
      </w:pPr>
      <w:r>
        <w:rPr>
          <w:rFonts w:eastAsia="Times New Roman" w:cs="Times New Roman"/>
          <w:sz w:val="22"/>
          <w:szCs w:val="22"/>
        </w:rPr>
        <w:t xml:space="preserve">…………………………………………………………………………………………………</w:t>
      </w:r>
      <w:r>
        <w:rPr>
          <w:rFonts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jc w:val="both"/>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tbl>
      <w:tblPr>
        <w:tblInd w:w="-106" w:type="dxa"/>
        <w:tblW w:w="5000" w:type="pct"/>
        <w:tblCellMar>
          <w:left w:w="108" w:type="dxa"/>
          <w:top w:w="0" w:type="dxa"/>
          <w:right w:w="108" w:type="dxa"/>
          <w:bottom w:w="0" w:type="dxa"/>
        </w:tblCellMar>
        <w:tblBorders/>
        <w:tblLayout w:type="fixed"/>
        <w:tblLook w:val="00A0" w:firstRow="1" w:lastRow="0" w:firstColumn="1" w:lastColumn="0" w:noHBand="0" w:noVBand="0"/>
      </w:tblPr>
      <w:tblGrid>
        <w:gridCol w:w="560"/>
        <w:gridCol w:w="2222"/>
        <w:gridCol w:w="3345"/>
        <w:gridCol w:w="2945"/>
      </w:tblGrid>
      <w:tr>
        <w:trPr/>
        <w:tc>
          <w:tcPr>
            <w:shd w:val="clear" w:color="auto" w:fill="d9d9d9"/>
            <w:tcBorders>
              <w:top w:val="single" w:color="000000" w:sz="4" w:space="0"/>
              <w:left w:val="single" w:color="000000" w:sz="4" w:space="0"/>
              <w:bottom w:val="single" w:color="000000" w:sz="4" w:space="0"/>
              <w:right w:val="single" w:color="000000" w:sz="4" w:space="0"/>
            </w:tcBorders>
            <w:tcW w:w="560" w:type="dxa"/>
            <w:vAlign w:val="center"/>
          </w:tcPr>
          <w:p>
            <w:pPr>
              <w:pStyle w:val="845"/>
              <w:pBdr/>
              <w:spacing/>
              <w:ind/>
              <w:jc w:val="center"/>
              <w:rPr>
                <w:rFonts w:ascii="Times New Roman" w:hAnsi="Times New Roman" w:cs="Times New Roman"/>
                <w:sz w:val="22"/>
                <w:szCs w:val="22"/>
              </w:rPr>
            </w:pPr>
            <w:r>
              <w:rPr>
                <w:rFonts w:eastAsia="Times New Roman" w:cs="Times New Roman"/>
                <w:sz w:val="22"/>
                <w:szCs w:val="22"/>
              </w:rPr>
              <w:t xml:space="preserve">Lp.</w:t>
            </w:r>
            <w:r>
              <w:rPr>
                <w:rFonts w:ascii="Times New Roman" w:hAnsi="Times New Roman" w:cs="Times New Roman"/>
                <w:sz w:val="22"/>
                <w:szCs w:val="22"/>
              </w:rPr>
            </w:r>
            <w:r>
              <w:rPr>
                <w:rFonts w:ascii="Times New Roman" w:hAnsi="Times New Roman" w:cs="Times New Roman"/>
                <w:sz w:val="22"/>
                <w:szCs w:val="22"/>
              </w:rPr>
            </w:r>
          </w:p>
        </w:tc>
        <w:tc>
          <w:tcPr>
            <w:shd w:val="clear" w:color="auto" w:fill="d9d9d9"/>
            <w:tcBorders>
              <w:top w:val="single" w:color="000000" w:sz="4" w:space="0"/>
              <w:left w:val="single" w:color="000000" w:sz="4" w:space="0"/>
              <w:bottom w:val="single" w:color="000000" w:sz="4" w:space="0"/>
              <w:right w:val="single" w:color="000000" w:sz="4" w:space="0"/>
            </w:tcBorders>
            <w:tcW w:w="2222" w:type="dxa"/>
            <w:vAlign w:val="center"/>
          </w:tcPr>
          <w:p>
            <w:pPr>
              <w:pStyle w:val="845"/>
              <w:pBdr/>
              <w:spacing/>
              <w:ind/>
              <w:jc w:val="center"/>
              <w:rPr>
                <w:rFonts w:ascii="Times New Roman" w:hAnsi="Times New Roman" w:cs="Times New Roman"/>
                <w:sz w:val="22"/>
                <w:szCs w:val="22"/>
              </w:rPr>
            </w:pPr>
            <w:r>
              <w:rPr>
                <w:rFonts w:eastAsia="Times New Roman" w:cs="Times New Roman"/>
                <w:sz w:val="22"/>
                <w:szCs w:val="22"/>
              </w:rPr>
              <w:t xml:space="preserve">Część dokumentu, do którego odnosi się uwaga (podrozdział, strona)</w:t>
            </w:r>
            <w:r>
              <w:rPr>
                <w:rFonts w:ascii="Times New Roman" w:hAnsi="Times New Roman" w:cs="Times New Roman"/>
                <w:sz w:val="22"/>
                <w:szCs w:val="22"/>
              </w:rPr>
            </w:r>
            <w:r>
              <w:rPr>
                <w:rFonts w:ascii="Times New Roman" w:hAnsi="Times New Roman" w:cs="Times New Roman"/>
                <w:sz w:val="22"/>
                <w:szCs w:val="22"/>
              </w:rPr>
            </w:r>
          </w:p>
        </w:tc>
        <w:tc>
          <w:tcPr>
            <w:shd w:val="clear" w:color="auto" w:fill="d9d9d9"/>
            <w:tcBorders>
              <w:top w:val="single" w:color="000000" w:sz="4" w:space="0"/>
              <w:left w:val="single" w:color="000000" w:sz="4" w:space="0"/>
              <w:bottom w:val="single" w:color="000000" w:sz="4" w:space="0"/>
              <w:right w:val="single" w:color="000000" w:sz="4" w:space="0"/>
            </w:tcBorders>
            <w:tcW w:w="3345" w:type="dxa"/>
            <w:vAlign w:val="center"/>
          </w:tcPr>
          <w:p>
            <w:pPr>
              <w:pStyle w:val="845"/>
              <w:pBdr/>
              <w:spacing/>
              <w:ind/>
              <w:jc w:val="center"/>
              <w:rPr>
                <w:rFonts w:ascii="Times New Roman" w:hAnsi="Times New Roman" w:cs="Times New Roman"/>
                <w:sz w:val="22"/>
                <w:szCs w:val="22"/>
              </w:rPr>
            </w:pPr>
            <w:r>
              <w:rPr>
                <w:rFonts w:eastAsia="Times New Roman" w:cs="Times New Roman"/>
                <w:sz w:val="22"/>
                <w:szCs w:val="22"/>
              </w:rPr>
              <w:t xml:space="preserve">Uwagi/opinie, propozycje zmian w tekście dokumentu</w:t>
            </w:r>
            <w:r>
              <w:rPr>
                <w:rFonts w:ascii="Times New Roman" w:hAnsi="Times New Roman" w:cs="Times New Roman"/>
                <w:sz w:val="22"/>
                <w:szCs w:val="22"/>
              </w:rPr>
            </w:r>
            <w:r>
              <w:rPr>
                <w:rFonts w:ascii="Times New Roman" w:hAnsi="Times New Roman" w:cs="Times New Roman"/>
                <w:sz w:val="22"/>
                <w:szCs w:val="22"/>
              </w:rPr>
            </w:r>
          </w:p>
        </w:tc>
        <w:tc>
          <w:tcPr>
            <w:shd w:val="clear" w:color="auto" w:fill="d9d9d9"/>
            <w:tcBorders>
              <w:top w:val="single" w:color="000000" w:sz="4" w:space="0"/>
              <w:left w:val="single" w:color="000000" w:sz="4" w:space="0"/>
              <w:bottom w:val="single" w:color="000000" w:sz="4" w:space="0"/>
              <w:right w:val="single" w:color="000000" w:sz="4" w:space="0"/>
            </w:tcBorders>
            <w:tcW w:w="2945" w:type="dxa"/>
            <w:vAlign w:val="center"/>
          </w:tcPr>
          <w:p>
            <w:pPr>
              <w:pStyle w:val="845"/>
              <w:pBdr/>
              <w:spacing/>
              <w:ind/>
              <w:jc w:val="center"/>
              <w:rPr>
                <w:rFonts w:ascii="Times New Roman" w:hAnsi="Times New Roman" w:cs="Times New Roman"/>
                <w:sz w:val="22"/>
                <w:szCs w:val="22"/>
              </w:rPr>
            </w:pPr>
            <w:r>
              <w:rPr>
                <w:rFonts w:eastAsia="Times New Roman" w:cs="Times New Roman"/>
                <w:sz w:val="22"/>
                <w:szCs w:val="22"/>
              </w:rPr>
              <w:t xml:space="preserve">Uzasadnienie*</w:t>
            </w:r>
            <w:r>
              <w:rPr>
                <w:rFonts w:ascii="Times New Roman" w:hAnsi="Times New Roman" w:cs="Times New Roman"/>
                <w:sz w:val="22"/>
                <w:szCs w:val="22"/>
              </w:rPr>
            </w:r>
            <w:r>
              <w:rPr>
                <w:rFonts w:ascii="Times New Roman" w:hAnsi="Times New Roman" w:cs="Times New Roman"/>
                <w:sz w:val="22"/>
                <w:szCs w:val="22"/>
              </w:rPr>
            </w:r>
          </w:p>
        </w:tc>
      </w:tr>
      <w:tr>
        <w:trPr>
          <w:trHeight w:val="567"/>
        </w:trPr>
        <w:tc>
          <w:tcPr>
            <w:tcBorders>
              <w:top w:val="single" w:color="000000" w:sz="4" w:space="0"/>
              <w:left w:val="single" w:color="000000" w:sz="4" w:space="0"/>
              <w:bottom w:val="single" w:color="000000" w:sz="4" w:space="0"/>
              <w:right w:val="single" w:color="000000" w:sz="4" w:space="0"/>
            </w:tcBorders>
            <w:tcW w:w="560" w:type="dxa"/>
          </w:tcPr>
          <w:p>
            <w:pPr>
              <w:pStyle w:val="930"/>
              <w:numPr>
                <w:ilvl w:val="0"/>
                <w:numId w:val="2"/>
              </w:numPr>
              <w:pBdr/>
              <w:spacing w:after="0" w:before="0" w:line="240" w:lineRule="auto"/>
              <w:ind w:hanging="142" w:left="284"/>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222"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3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9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567"/>
        </w:trPr>
        <w:tc>
          <w:tcPr>
            <w:tcBorders>
              <w:top w:val="single" w:color="000000" w:sz="4" w:space="0"/>
              <w:left w:val="single" w:color="000000" w:sz="4" w:space="0"/>
              <w:bottom w:val="single" w:color="000000" w:sz="4" w:space="0"/>
              <w:right w:val="single" w:color="000000" w:sz="4" w:space="0"/>
            </w:tcBorders>
            <w:tcW w:w="560" w:type="dxa"/>
          </w:tcPr>
          <w:p>
            <w:pPr>
              <w:pStyle w:val="930"/>
              <w:numPr>
                <w:ilvl w:val="0"/>
                <w:numId w:val="2"/>
              </w:numPr>
              <w:pBdr/>
              <w:spacing w:after="0" w:before="0" w:line="240" w:lineRule="auto"/>
              <w:ind w:hanging="142" w:left="284"/>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222"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3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9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567"/>
        </w:trPr>
        <w:tc>
          <w:tcPr>
            <w:tcBorders>
              <w:top w:val="single" w:color="000000" w:sz="4" w:space="0"/>
              <w:left w:val="single" w:color="000000" w:sz="4" w:space="0"/>
              <w:bottom w:val="single" w:color="000000" w:sz="4" w:space="0"/>
              <w:right w:val="single" w:color="000000" w:sz="4" w:space="0"/>
            </w:tcBorders>
            <w:tcW w:w="560" w:type="dxa"/>
          </w:tcPr>
          <w:p>
            <w:pPr>
              <w:pStyle w:val="930"/>
              <w:numPr>
                <w:ilvl w:val="0"/>
                <w:numId w:val="2"/>
              </w:numPr>
              <w:pBdr/>
              <w:spacing w:after="0" w:before="0" w:line="240" w:lineRule="auto"/>
              <w:ind w:hanging="142" w:left="284"/>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222"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3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9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567"/>
        </w:trPr>
        <w:tc>
          <w:tcPr>
            <w:tcBorders>
              <w:top w:val="single" w:color="000000" w:sz="4" w:space="0"/>
              <w:left w:val="single" w:color="000000" w:sz="4" w:space="0"/>
              <w:bottom w:val="single" w:color="000000" w:sz="4" w:space="0"/>
              <w:right w:val="single" w:color="000000" w:sz="4" w:space="0"/>
            </w:tcBorders>
            <w:tcW w:w="560" w:type="dxa"/>
          </w:tcPr>
          <w:p>
            <w:pPr>
              <w:pStyle w:val="930"/>
              <w:numPr>
                <w:ilvl w:val="0"/>
                <w:numId w:val="2"/>
              </w:numPr>
              <w:pBdr/>
              <w:spacing w:after="0" w:before="0" w:line="240" w:lineRule="auto"/>
              <w:ind w:hanging="142" w:left="284"/>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222"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3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9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567"/>
        </w:trPr>
        <w:tc>
          <w:tcPr>
            <w:tcBorders>
              <w:top w:val="single" w:color="000000" w:sz="4" w:space="0"/>
              <w:left w:val="single" w:color="000000" w:sz="4" w:space="0"/>
              <w:bottom w:val="single" w:color="000000" w:sz="4" w:space="0"/>
              <w:right w:val="single" w:color="000000" w:sz="4" w:space="0"/>
            </w:tcBorders>
            <w:tcW w:w="560" w:type="dxa"/>
          </w:tcPr>
          <w:p>
            <w:pPr>
              <w:pStyle w:val="930"/>
              <w:numPr>
                <w:ilvl w:val="0"/>
                <w:numId w:val="2"/>
              </w:numPr>
              <w:pBdr/>
              <w:spacing w:after="0" w:before="0" w:line="240" w:lineRule="auto"/>
              <w:ind w:hanging="142" w:left="284"/>
              <w:contextualSpacing w:val="false"/>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222"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3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2945" w:type="dxa"/>
          </w:tcPr>
          <w:p>
            <w:pPr>
              <w:pStyle w:val="845"/>
              <w:pBdr/>
              <w:spacing/>
              <w:ind/>
              <w:jc w:val="both"/>
              <w:rPr>
                <w:rFonts w:ascii="Times New Roman" w:hAnsi="Times New Roman" w:cs="Times New Roman"/>
                <w:sz w:val="22"/>
                <w:szCs w:val="22"/>
              </w:rPr>
            </w:pPr>
            <w:r>
              <w:rPr>
                <w:rFonts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bl>
    <w:p>
      <w:pPr>
        <w:pStyle w:val="845"/>
        <w:pBdr/>
        <w:spacing/>
        <w:ind/>
        <w:jc w:val="both"/>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845"/>
        <w:pBdr/>
        <w:spacing/>
        <w:ind/>
        <w:jc w:val="both"/>
        <w:rPr>
          <w:rFonts w:ascii="Times New Roman" w:hAnsi="Times New Roman" w:cs="Times New Roman"/>
          <w:highlight w:val="none"/>
        </w:rPr>
      </w:pPr>
      <w:r>
        <w:rPr>
          <w:rFonts w:eastAsia="Times New Roman" w:cs="Times New Roman"/>
        </w:rPr>
        <w:t xml:space="preserve">* W procesie konsultacji zostaną uwzględnione jedynie propozycje zmian/uwagi, które zostaną uzasadnione.</w:t>
      </w:r>
      <w:r>
        <w:rPr>
          <w:rFonts w:ascii="Times New Roman" w:hAnsi="Times New Roman" w:cs="Times New Roman"/>
          <w:highlight w:val="none"/>
        </w:rPr>
      </w:r>
      <w:r>
        <w:rPr>
          <w:rFonts w:ascii="Times New Roman" w:hAnsi="Times New Roman" w:cs="Times New Roman"/>
          <w:highlight w:val="none"/>
        </w:rPr>
      </w:r>
    </w:p>
    <w:p>
      <w:pPr>
        <w:pStyle w:val="845"/>
        <w:pBdr/>
        <w:spacing/>
        <w:ind/>
        <w:jc w:val="both"/>
        <w:rPr>
          <w:rFonts w:ascii="Times New Roman" w:hAnsi="Times New Roman" w:cs="Times New Roman"/>
        </w:rPr>
      </w:pPr>
      <w:r>
        <w:rPr>
          <w:rFonts w:cs="Times New Roman"/>
        </w:rPr>
      </w:r>
      <w:r>
        <w:rPr>
          <w:rFonts w:ascii="Times New Roman" w:hAnsi="Times New Roman" w:cs="Times New Roman"/>
        </w:rPr>
      </w:r>
      <w:r>
        <w:rPr>
          <w:rFonts w:ascii="Times New Roman" w:hAnsi="Times New Roman" w:cs="Times New Roman"/>
        </w:rPr>
      </w:r>
    </w:p>
    <w:p>
      <w:pPr>
        <w:pStyle w:val="906"/>
        <w:pBdr/>
        <w:spacing w:after="0" w:before="0" w:line="240" w:lineRule="auto"/>
        <w:ind/>
        <w:rPr>
          <w:rFonts w:eastAsia="Times New Roman" w:cs="Times New Roman"/>
          <w:color w:val="ff0000"/>
          <w:sz w:val="24"/>
          <w:szCs w:val="24"/>
          <w:highlight w:val="none"/>
          <w:lang w:val="pl-PL" w:eastAsia="zh-CN" w:bidi="ar-SA"/>
        </w:rPr>
      </w:pPr>
      <w:r>
        <w:rPr>
          <w:rFonts w:eastAsia="Times New Roman" w:cs="Times New Roman"/>
          <w:color w:val="ff0000"/>
          <w:sz w:val="24"/>
          <w:szCs w:val="24"/>
          <w:lang w:val="pl-PL" w:eastAsia="zh-CN" w:bidi="ar-SA"/>
        </w:rPr>
        <w:t xml:space="preserve">                                                                                          </w:t>
      </w:r>
      <w:r>
        <w:rPr>
          <w:rFonts w:ascii="Times New Roman" w:hAnsi="Times New Roman" w:cs="Times New Roman"/>
          <w:color w:val="000000"/>
          <w:sz w:val="24"/>
          <w:szCs w:val="24"/>
          <w:highlight w:val="none"/>
          <w:lang w:val="pl-PL" w:bidi="ar-SA"/>
        </w:rPr>
      </w:r>
    </w:p>
    <w:p w14:paraId="0591B306">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724352CB">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54A4F346">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41B03FCE">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10AA610B">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r>
        <w:rPr>
          <w:rFonts w:ascii="Times New Roman" w:hAnsi="Times New Roman" w:cs="Times New Roman"/>
          <w:color w:val="000000"/>
          <w:sz w:val="24"/>
          <w:szCs w:val="24"/>
          <w:highlight w:val="none"/>
          <w:lang w:val="pl-PL" w:bidi="ar-SA"/>
        </w:rPr>
      </w:r>
    </w:p>
    <w:p w14:paraId="127822F1">
      <w:pPr>
        <w:pStyle w:val="906"/>
        <w:pBdr/>
        <w:spacing w:after="0" w:before="0" w:line="240" w:lineRule="auto"/>
        <w:ind/>
        <w:rPr>
          <w:rFonts w:ascii="Times New Roman" w:hAnsi="Times New Roman" w:cs="Times New Roman"/>
          <w:color w:val="000000"/>
          <w:sz w:val="24"/>
          <w:szCs w:val="24"/>
          <w:highlight w:val="none"/>
          <w:lang w:val="pl-PL" w:bidi="ar-SA"/>
        </w:rPr>
      </w:pPr>
      <w:r>
        <w:rPr>
          <w:rFonts w:eastAsia="Times New Roman" w:cs="Times New Roman"/>
          <w:color w:val="ff0000"/>
          <w:sz w:val="24"/>
          <w:szCs w:val="24"/>
          <w:highlight w:val="none"/>
          <w:lang w:val="pl-PL" w:eastAsia="zh-CN" w:bidi="pl-PL"/>
        </w:rPr>
      </w:r>
      <w:r>
        <w:rPr>
          <w:rFonts w:eastAsia="Times New Roman" w:cs="Times New Roman"/>
          <w:color w:val="ff0000"/>
          <w:sz w:val="24"/>
          <w:szCs w:val="24"/>
          <w:highlight w:val="none"/>
          <w:lang w:val="pl-PL" w:eastAsia="zh-CN" w:bidi="pl-PL"/>
        </w:rPr>
      </w:r>
      <w:r>
        <w:rPr>
          <w:rFonts w:eastAsia="Times New Roman" w:cs="Times New Roman"/>
          <w:color w:val="ff0000"/>
          <w:sz w:val="24"/>
          <w:szCs w:val="24"/>
          <w:highlight w:val="none"/>
          <w:lang w:val="pl-PL" w:eastAsia="zh-CN" w:bidi="ar-SA"/>
        </w:rPr>
      </w:r>
    </w:p>
    <w:p w14:paraId="71440DEF">
      <w:pPr>
        <w:pStyle w:val="845"/>
        <w:pBdr/>
        <w:spacing w:after="0" w:before="0"/>
        <w:ind/>
        <w:jc w:val="left"/>
        <w:rPr>
          <w:rFonts w:ascii="Times New Roman" w:hAnsi="Times New Roman" w:cs="Times New Roman"/>
          <w:b/>
          <w:bCs/>
          <w:color w:val="ff0000"/>
          <w:sz w:val="22"/>
          <w:szCs w:val="22"/>
        </w:rPr>
      </w:pPr>
      <w:r>
        <w:rPr>
          <w:rFonts w:eastAsia="Times New Roman" w:cs="Times New Roman"/>
          <w:b/>
          <w:bCs/>
          <w:color w:val="00000a"/>
          <w:sz w:val="22"/>
          <w:szCs w:val="22"/>
          <w:highlight w:val="none"/>
          <w:lang w:eastAsia="pl-PL"/>
        </w:rPr>
      </w:r>
      <w:r>
        <w:rPr>
          <w:rFonts w:ascii="Times New Roman" w:hAnsi="Times New Roman" w:cs="Times New Roman"/>
          <w:b/>
          <w:bCs/>
          <w:color w:val="ff0000"/>
          <w:sz w:val="22"/>
          <w:szCs w:val="22"/>
        </w:rPr>
      </w:r>
      <w:r>
        <w:rPr>
          <w:rFonts w:ascii="Times New Roman" w:hAnsi="Times New Roman" w:cs="Times New Roman"/>
          <w:b/>
          <w:bCs/>
          <w:color w:val="ff0000"/>
          <w:sz w:val="22"/>
          <w:szCs w:val="22"/>
        </w:rPr>
      </w:r>
    </w:p>
    <w:p w14:paraId="34163F58">
      <w:pPr>
        <w:pStyle w:val="845"/>
        <w:pBdr/>
        <w:spacing w:after="0" w:before="0"/>
        <w:ind/>
        <w:jc w:val="center"/>
        <w:rPr>
          <w:highlight w:val="none"/>
        </w:rPr>
      </w:pPr>
      <w:r>
        <w:rPr>
          <w:rFonts w:eastAsia="Times New Roman" w:cs="Times New Roman"/>
          <w:b/>
          <w:color w:val="ff0000"/>
          <w:sz w:val="22"/>
          <w:szCs w:val="22"/>
        </w:rPr>
        <w:t xml:space="preserve">      </w:t>
      </w:r>
      <w:r>
        <w:rPr>
          <w:rFonts w:eastAsia="Times New Roman" w:cs="Times New Roman"/>
          <w:b/>
          <w:bCs/>
          <w:color w:val="00000a"/>
          <w:sz w:val="22"/>
          <w:szCs w:val="22"/>
          <w:lang w:eastAsia="pl-PL"/>
        </w:rPr>
        <w:t xml:space="preserve">KLAUZULA INFORMACYJNA</w:t>
      </w:r>
      <w:r>
        <w:rPr>
          <w:highlight w:val="none"/>
        </w:rPr>
      </w:r>
      <w:r>
        <w:rPr>
          <w:highlight w:val="none"/>
        </w:rPr>
      </w:r>
    </w:p>
    <w:p w14:paraId="5016F2EF">
      <w:pPr>
        <w:pStyle w:val="845"/>
        <w:pBdr/>
        <w:spacing w:after="0" w:before="0"/>
        <w:ind/>
        <w:jc w:val="center"/>
        <w:rPr>
          <w:rFonts w:eastAsia="Times New Roman" w:cs="Times New Roman"/>
          <w:b/>
          <w:bCs/>
          <w:color w:val="00000a"/>
          <w:sz w:val="22"/>
          <w:szCs w:val="22"/>
          <w:highlight w:val="none"/>
          <w:lang w:eastAsia="pl-PL"/>
        </w:rPr>
      </w:pPr>
      <w:r>
        <w:rPr>
          <w:highlight w:val="none"/>
        </w:rPr>
      </w:r>
      <w:r>
        <w:rPr>
          <w:rFonts w:eastAsia="Times New Roman" w:cs="Times New Roman"/>
          <w:b/>
          <w:bCs/>
          <w:color w:val="00000a"/>
          <w:sz w:val="22"/>
          <w:szCs w:val="22"/>
          <w:highlight w:val="none"/>
          <w:lang w:eastAsia="pl-PL"/>
        </w:rPr>
      </w:r>
      <w:r>
        <w:rPr>
          <w:rFonts w:eastAsia="Times New Roman" w:cs="Times New Roman"/>
          <w:b/>
          <w:bCs/>
          <w:color w:val="00000a"/>
          <w:sz w:val="22"/>
          <w:szCs w:val="22"/>
          <w:highlight w:val="none"/>
          <w:lang w:eastAsia="pl-PL"/>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Zgodnie z art. 13 rozporządzenia Parlamentu Europejskiego i Rady UE 2016/679                                              z dnia 27 kwietnia 2016 r. - ogólnego rozporządzenia o ochronie danych osobowych (RODO) - informuję, że:</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1) Administratorem Pani/Pana danych osobowych jest Wójt Gminy Braniewo z siedzibą   przy   ul.    Moniuszki 5, 14-500 Braniewo, tel. 55 644 03 22, e-mail: gmina@gminabraniewo.pl.</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2) Z Inspektorem Ochrony Danych można kontaktować się we wszystkich sprawach dotyczących przetwarzania danych osobowych oraz korzystania z praw związanych z przetwarzaniem danych, pod adresem e-mail: iod@secureservices.pl.</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3) Pani/Pana dane osobowe będą przetwarzane w celu przeprowadzenia konsultacji sp</w:t>
      </w:r>
      <w:r>
        <w:rPr>
          <w:rFonts w:eastAsia="Times New Roman" w:cs="Times New Roman"/>
          <w:sz w:val="22"/>
          <w:szCs w:val="22"/>
        </w:rPr>
        <w:t xml:space="preserve">ołecznych projektu dokumentu pn. "Lokalny Plan Deinstytucjonalizacji Usług Społecznych w Gminie Braniewo na lata 2026-2030", w szczególności w celu przyjęcia, analiz i rozpatrzenia zgłoszonych uwag, wniosków i opinii.</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4) Podstawą prawną przetwarzania danych osobowych jest art. 6 ust. 1 lit. e RODO,                                  tj. wykonanie zadania realizowanego w interesie publicznym lub w ramach sprawowania władzy publiczn</w:t>
      </w:r>
      <w:r>
        <w:rPr>
          <w:rFonts w:eastAsia="Times New Roman" w:cs="Times New Roman"/>
          <w:sz w:val="22"/>
          <w:szCs w:val="22"/>
        </w:rPr>
        <w:t xml:space="preserve">ej powierzonej administratorowi, w związku z przeprowadzeniem konsultacji społecznych na podstawie przepisów ustawy o samorządzie gminnym oraz uchwały Rady Gminy Braniewo określającej zasady i tryb przeprowadzania konsultacji z mieszkańcami Gminy Braniewo.</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5) Odbiorcami Pani/Pana danych osobowych mogą być podmioty uprawnione                                                   do ich otrzymania na podstawi</w:t>
      </w:r>
      <w:r>
        <w:rPr>
          <w:rFonts w:eastAsia="Times New Roman" w:cs="Times New Roman"/>
          <w:sz w:val="22"/>
          <w:szCs w:val="22"/>
        </w:rPr>
        <w:t xml:space="preserve">e przepisów prawa, podmioty świadczące na rzecz administratora usługi pocztowe, informatyczne, obsługę prawną, archiwizacyjną, a także podmioty przetwarzające dane na podstawie umów zawartych z administratorem. Wyniki konsultacji mogą zostać podane do publ</w:t>
      </w:r>
      <w:r>
        <w:rPr>
          <w:rFonts w:eastAsia="Times New Roman" w:cs="Times New Roman"/>
          <w:sz w:val="22"/>
          <w:szCs w:val="22"/>
        </w:rPr>
        <w:t xml:space="preserve">icznej wiadomości w sposób określony w ogłoszeniu o konsultacjach, przy czym dane osobowe osób zgłaszających uwagi nie powinny  być publikowane, o ile nie wynika to z przepisów prawa.</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6) Pani/Pana dane osobowe będą przechowywane przez okres niezbędny do </w:t>
      </w:r>
      <w:r>
        <w:rPr>
          <w:rFonts w:eastAsia="Times New Roman" w:cs="Times New Roman"/>
          <w:sz w:val="22"/>
          <w:szCs w:val="22"/>
        </w:rPr>
        <w:t xml:space="preserve">realizacji celu,                       dla którego zostały zebrane, a następnie przez okres wynikający z przepisów o narodowym zasobie archiwalnym i archiwach, instrukcji kancelaryjnej oraz jednolitego rzeczowego wykazu akt obowiązującego u administratora.</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7) Przysługuje Pani/Panu prawo dostępu do danych osobowych, ich sprostowania                                     oraz ograni</w:t>
      </w:r>
      <w:r>
        <w:rPr>
          <w:rFonts w:eastAsia="Times New Roman" w:cs="Times New Roman"/>
          <w:sz w:val="22"/>
          <w:szCs w:val="22"/>
        </w:rPr>
        <w:t xml:space="preserve">czenia przetwarzania, a także - w przypadkach przewidzianych w RODO - prawo wniesienia sprzeciwu wobec przetwarzania danych. Realizacja tych praw może podlegać ograniczeniom wynikającym z przepisów prawa, w szczególności przepisów dotyczących archiwizacji.</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8) Przysługuje Pani/Panu prawo wniesienia skargi do Prezesa Urzędu Ochrony Danych Osobowych, jeżeli uzna Pani/Pan, że przetwarzanie danych osobowych narusza przepisy RODO.</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9) Podanie danych osobowych jest dobrowolne, jednak niezbędne do udziału w konsultacjach społecznych i rozpatrzenia zgłoszonych uwag. Niepodanie danych wymaganych w formularzu może skutkować pozostawieniem formularza bez rozpatrzenia.</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10) Pani/Pana dane osobowe nie będą przetwarzane w sposób zautomatyzowany, w tym                                        nie będą profilowane.</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sz w:val="22"/>
          <w:szCs w:val="22"/>
        </w:rPr>
      </w:pPr>
      <w:r>
        <w:rPr>
          <w:rFonts w:eastAsia="Times New Roman" w:cs="Times New Roman"/>
          <w:sz w:val="22"/>
          <w:szCs w:val="22"/>
        </w:rPr>
        <w:t xml:space="preserve">11) Pani/Pana dane osobowe nie będą przekazywane do państwa trzeciego ani organizacji międzynarodowej.</w:t>
      </w:r>
      <w:r>
        <w:rPr>
          <w:rFonts w:ascii="Times New Roman" w:hAnsi="Times New Roman" w:cs="Times New Roman"/>
          <w:sz w:val="22"/>
          <w:szCs w:val="22"/>
        </w:rPr>
      </w:r>
      <w:r>
        <w:rPr>
          <w:rFonts w:ascii="Times New Roman" w:hAnsi="Times New Roman" w:cs="Times New Roman"/>
          <w:sz w:val="22"/>
          <w:szCs w:val="22"/>
        </w:rPr>
      </w:r>
    </w:p>
    <w:p>
      <w:pPr>
        <w:pStyle w:val="845"/>
        <w:pBdr/>
        <w:spacing/>
        <w:ind/>
        <w:jc w:val="both"/>
        <w:rPr>
          <w:rFonts w:ascii="Times New Roman" w:hAnsi="Times New Roman" w:cs="Times New Roman"/>
          <w:color w:val="000000"/>
          <w:sz w:val="22"/>
          <w:szCs w:val="22"/>
          <w:highlight w:val="none"/>
        </w:rPr>
      </w:pPr>
      <w:r>
        <w:rPr>
          <w:rFonts w:eastAsia="Times New Roman" w:cs="Times New Roman"/>
          <w:sz w:val="22"/>
          <w:szCs w:val="22"/>
        </w:rPr>
        <w:t xml:space="preserve">Oświadczam, że zapoznałam/zapoznałem się z klauzulą informacyjną dotyczącą przetwarzania danych osobowych.</w:t>
      </w:r>
      <w:r>
        <w:rPr>
          <w:rFonts w:eastAsia="Times New Roman" w:cs="Times New Roman"/>
          <w:color w:val="00000a"/>
          <w:sz w:val="22"/>
          <w:szCs w:val="22"/>
          <w:lang w:eastAsia="pl-PL"/>
        </w:rPr>
        <w:t xml:space="preserve">                                             </w:t>
      </w:r>
      <w:r>
        <w:rPr>
          <w:rFonts w:ascii="Times New Roman" w:hAnsi="Times New Roman" w:cs="Times New Roman"/>
          <w:color w:val="000000"/>
          <w:sz w:val="22"/>
          <w:szCs w:val="22"/>
          <w:highlight w:val="none"/>
        </w:rPr>
      </w:r>
      <w:r>
        <w:rPr>
          <w:rFonts w:ascii="Times New Roman" w:hAnsi="Times New Roman" w:cs="Times New Roman"/>
          <w:color w:val="000000"/>
          <w:sz w:val="22"/>
          <w:szCs w:val="22"/>
          <w:highlight w:val="none"/>
        </w:rPr>
      </w:r>
    </w:p>
    <w:p>
      <w:pPr>
        <w:pStyle w:val="845"/>
        <w:pBdr/>
        <w:spacing w:after="0" w:before="0" w:line="240" w:lineRule="auto"/>
        <w:ind w:left="0"/>
        <w:jc w:val="center"/>
        <w:rPr>
          <w:rFonts w:eastAsia="Times New Roman" w:cs="Times New Roman"/>
          <w:color w:val="00000a"/>
          <w:sz w:val="22"/>
          <w:szCs w:val="22"/>
          <w:lang w:eastAsia="pl-PL"/>
        </w:rPr>
      </w:pPr>
      <w:r>
        <w:rPr>
          <w:rFonts w:eastAsia="Times New Roman" w:cs="Times New Roman"/>
          <w:color w:val="00000a"/>
          <w:sz w:val="22"/>
          <w:szCs w:val="22"/>
          <w:lang w:eastAsia="pl-PL"/>
        </w:rPr>
        <w:t xml:space="preserve">       </w:t>
      </w:r>
      <w:r>
        <w:rPr>
          <w:rFonts w:eastAsia="Times New Roman" w:cs="Times New Roman"/>
          <w:color w:val="00000a"/>
          <w:sz w:val="22"/>
          <w:szCs w:val="22"/>
          <w:lang w:eastAsia="pl-PL"/>
        </w:rPr>
      </w:r>
      <w:r>
        <w:rPr>
          <w:rFonts w:eastAsia="Times New Roman" w:cs="Times New Roman"/>
          <w:color w:val="00000a"/>
          <w:sz w:val="22"/>
          <w:szCs w:val="22"/>
          <w:lang w:eastAsia="pl-PL"/>
        </w:rPr>
      </w:r>
    </w:p>
    <w:p w14:paraId="1703B00C">
      <w:pPr>
        <w:pStyle w:val="845"/>
        <w:pBdr/>
        <w:spacing w:after="0" w:before="0" w:line="240" w:lineRule="auto"/>
        <w:ind w:left="0"/>
        <w:jc w:val="center"/>
        <w:rPr>
          <w:rFonts w:ascii="Times New Roman" w:hAnsi="Times New Roman" w:eastAsia="Times New Roman" w:cs="Times New Roman"/>
          <w:color w:val="00000a"/>
          <w:sz w:val="22"/>
          <w:szCs w:val="22"/>
        </w:rPr>
      </w:pPr>
      <w:r>
        <w:rPr>
          <w:rFonts w:eastAsia="Times New Roman" w:cs="Times New Roman"/>
          <w:color w:val="00000a"/>
          <w:sz w:val="22"/>
          <w:szCs w:val="22"/>
          <w:highlight w:val="none"/>
          <w:lang w:eastAsia="pl-PL"/>
        </w:rPr>
      </w:r>
      <w:r>
        <w:rPr>
          <w:rFonts w:ascii="Times New Roman" w:hAnsi="Times New Roman" w:eastAsia="Times New Roman" w:cs="Times New Roman"/>
          <w:color w:val="00000a"/>
          <w:sz w:val="22"/>
          <w:szCs w:val="22"/>
        </w:rPr>
      </w:r>
      <w:r>
        <w:rPr>
          <w:rFonts w:ascii="Times New Roman" w:hAnsi="Times New Roman" w:eastAsia="Times New Roman" w:cs="Times New Roman"/>
          <w:color w:val="00000a"/>
          <w:sz w:val="22"/>
          <w:szCs w:val="22"/>
        </w:rPr>
      </w:r>
    </w:p>
    <w:p w14:paraId="27B037A1">
      <w:pPr>
        <w:pStyle w:val="845"/>
        <w:pBdr/>
        <w:spacing w:after="0" w:before="0" w:line="240" w:lineRule="auto"/>
        <w:ind w:left="0"/>
        <w:jc w:val="center"/>
        <w:rPr>
          <w:rFonts w:eastAsia="Times New Roman" w:cs="Times New Roman"/>
          <w:color w:val="00000a"/>
          <w:sz w:val="22"/>
          <w:szCs w:val="22"/>
          <w:highlight w:val="none"/>
          <w:lang w:eastAsia="pl-PL"/>
        </w:rPr>
      </w:pPr>
      <w:r>
        <w:rPr>
          <w:rFonts w:eastAsia="Times New Roman" w:cs="Times New Roman"/>
          <w:color w:val="00000a"/>
          <w:sz w:val="22"/>
          <w:szCs w:val="22"/>
          <w:highlight w:val="none"/>
          <w:lang w:eastAsia="pl-PL"/>
        </w:rPr>
      </w:r>
      <w:r>
        <w:rPr>
          <w:rFonts w:eastAsia="Times New Roman" w:cs="Times New Roman"/>
          <w:color w:val="00000a"/>
          <w:sz w:val="22"/>
          <w:szCs w:val="22"/>
          <w:highlight w:val="none"/>
          <w:lang w:eastAsia="pl-PL"/>
        </w:rPr>
      </w:r>
      <w:r>
        <w:rPr>
          <w:rFonts w:eastAsia="Times New Roman" w:cs="Times New Roman"/>
          <w:color w:val="00000a"/>
          <w:sz w:val="22"/>
          <w:szCs w:val="22"/>
          <w:highlight w:val="none"/>
          <w:lang w:eastAsia="pl-PL"/>
        </w:rPr>
      </w:r>
    </w:p>
    <w:p w14:paraId="603DD04A">
      <w:pPr>
        <w:pStyle w:val="845"/>
        <w:pBdr/>
        <w:spacing w:after="0" w:before="0" w:line="240" w:lineRule="auto"/>
        <w:ind w:left="0"/>
        <w:jc w:val="center"/>
        <w:rPr>
          <w:rFonts w:eastAsia="Times New Roman" w:cs="Times New Roman"/>
          <w:color w:val="00000a"/>
          <w:sz w:val="22"/>
          <w:szCs w:val="22"/>
          <w:highlight w:val="none"/>
          <w:lang w:eastAsia="pl-PL"/>
        </w:rPr>
      </w:pPr>
      <w:r>
        <w:rPr>
          <w:rFonts w:eastAsia="Times New Roman" w:cs="Times New Roman"/>
          <w:color w:val="00000a"/>
          <w:sz w:val="22"/>
          <w:szCs w:val="22"/>
          <w:lang w:eastAsia="pl-PL"/>
        </w:rPr>
        <w:t xml:space="preserve">                                                   …</w:t>
      </w:r>
      <w:r>
        <w:rPr>
          <w:rFonts w:eastAsia="Times New Roman" w:cs="Times New Roman"/>
          <w:color w:val="00000a"/>
          <w:sz w:val="22"/>
          <w:szCs w:val="22"/>
          <w:lang w:eastAsia="pl-PL"/>
        </w:rPr>
        <w:t xml:space="preserve">................................................................</w:t>
      </w:r>
      <w:r>
        <w:rPr>
          <w:rFonts w:eastAsia="Times New Roman" w:cs="Times New Roman"/>
          <w:color w:val="00000a"/>
          <w:sz w:val="22"/>
          <w:szCs w:val="22"/>
          <w:highlight w:val="none"/>
          <w:lang w:eastAsia="pl-PL"/>
        </w:rPr>
      </w:r>
      <w:r>
        <w:rPr>
          <w:rFonts w:eastAsia="Times New Roman" w:cs="Times New Roman"/>
          <w:color w:val="00000a"/>
          <w:sz w:val="22"/>
          <w:szCs w:val="22"/>
          <w:highlight w:val="none"/>
          <w:lang w:eastAsia="pl-PL"/>
        </w:rPr>
      </w:r>
    </w:p>
    <w:p>
      <w:pPr>
        <w:pStyle w:val="845"/>
        <w:pBdr/>
        <w:spacing w:after="0" w:before="0" w:line="240" w:lineRule="auto"/>
        <w:ind w:left="0"/>
        <w:jc w:val="center"/>
        <w:rPr>
          <w:sz w:val="22"/>
          <w:szCs w:val="22"/>
        </w:rPr>
      </w:pPr>
      <w:r>
        <w:rPr>
          <w:rFonts w:eastAsia="Times New Roman" w:cs="Times New Roman"/>
          <w:i/>
          <w:iCs/>
          <w:color w:val="000000"/>
          <w:sz w:val="22"/>
          <w:szCs w:val="22"/>
          <w:lang w:eastAsia="pl-PL"/>
        </w:rPr>
        <w:t xml:space="preserve">                                                            </w:t>
      </w:r>
      <w:r>
        <w:rPr>
          <w:rFonts w:eastAsia="Times New Roman" w:cs="Times New Roman"/>
          <w:i/>
          <w:iCs/>
          <w:color w:val="000000"/>
          <w:sz w:val="22"/>
          <w:szCs w:val="22"/>
          <w:lang w:eastAsia="pl-PL"/>
        </w:rPr>
        <w:t xml:space="preserve">(podpis)</w:t>
      </w:r>
      <w:r>
        <w:rPr>
          <w:sz w:val="22"/>
          <w:szCs w:val="22"/>
        </w:rPr>
      </w:r>
      <w:r>
        <w:rPr>
          <w:sz w:val="22"/>
          <w:szCs w:val="22"/>
        </w:rPr>
      </w:r>
    </w:p>
    <w:p>
      <w:pPr>
        <w:pStyle w:val="906"/>
        <w:pBdr/>
        <w:spacing w:after="0" w:before="0" w:line="240" w:lineRule="auto"/>
        <w:ind/>
        <w:rPr>
          <w:rFonts w:ascii="Times New Roman" w:hAnsi="Times New Roman" w:cs="Times New Roman"/>
          <w:color w:val="000000"/>
          <w:sz w:val="22"/>
          <w:szCs w:val="22"/>
          <w:highlight w:val="none"/>
        </w:rPr>
      </w:pPr>
      <w:r>
        <w:rPr>
          <w:rFonts w:eastAsia="Times New Roman" w:cs="Times New Roman"/>
          <w:color w:val="ff0000"/>
          <w:sz w:val="22"/>
          <w:szCs w:val="22"/>
          <w:lang w:val="pl-PL" w:eastAsia="zh-CN" w:bidi="ar-SA"/>
        </w:rPr>
        <w:t xml:space="preserve">                                                                                             </w:t>
      </w:r>
      <w:r>
        <w:rPr>
          <w:rFonts w:ascii="Times New Roman" w:hAnsi="Times New Roman" w:cs="Times New Roman"/>
          <w:color w:val="000000"/>
          <w:sz w:val="22"/>
          <w:szCs w:val="22"/>
          <w:highlight w:val="none"/>
        </w:rPr>
      </w:r>
      <w:r>
        <w:rPr>
          <w:rFonts w:ascii="Times New Roman" w:hAnsi="Times New Roman" w:cs="Times New Roman"/>
          <w:color w:val="000000"/>
          <w:sz w:val="22"/>
          <w:szCs w:val="22"/>
          <w:highlight w:val="none"/>
        </w:rPr>
      </w:r>
    </w:p>
    <w:p>
      <w:pPr>
        <w:pStyle w:val="906"/>
        <w:pBdr/>
        <w:spacing w:after="0" w:before="0" w:line="240" w:lineRule="auto"/>
        <w:ind/>
        <w:rPr>
          <w:rFonts w:eastAsia="Times New Roman" w:cs="Times New Roman"/>
          <w:color w:val="ff0000"/>
          <w:sz w:val="22"/>
          <w:szCs w:val="22"/>
          <w:highlight w:val="none"/>
          <w:lang w:val="pl-PL" w:eastAsia="zh-CN" w:bidi="ar-SA"/>
        </w:rPr>
      </w:pPr>
      <w:r>
        <w:rPr>
          <w:rFonts w:eastAsia="Times New Roman" w:cs="Times New Roman"/>
          <w:color w:val="ff0000"/>
          <w:sz w:val="22"/>
          <w:szCs w:val="22"/>
          <w:lang w:val="pl-PL" w:eastAsia="zh-CN" w:bidi="ar-SA"/>
        </w:rPr>
        <w:t xml:space="preserve">                                                                                       </w:t>
      </w:r>
      <w:r>
        <w:rPr>
          <w:rFonts w:ascii="Times New Roman" w:hAnsi="Times New Roman" w:cs="Times New Roman"/>
          <w:color w:val="000000"/>
          <w:sz w:val="20"/>
          <w:szCs w:val="20"/>
          <w:highlight w:val="none"/>
        </w:rPr>
      </w:r>
    </w:p>
    <w:p w14:paraId="71DA8341">
      <w:pPr>
        <w:pStyle w:val="906"/>
        <w:pBdr/>
        <w:spacing w:after="0" w:before="0" w:line="240" w:lineRule="auto"/>
        <w:ind/>
        <w:rPr>
          <w:rFonts w:ascii="Times New Roman" w:hAnsi="Times New Roman" w:cs="Times New Roman"/>
          <w:color w:val="000000"/>
          <w:sz w:val="20"/>
          <w:szCs w:val="20"/>
          <w:highlight w:val="none"/>
        </w:rPr>
      </w:pPr>
      <w:r>
        <w:rPr>
          <w:rFonts w:eastAsia="Times New Roman" w:cs="Times New Roman"/>
          <w:color w:val="ff0000"/>
          <w:sz w:val="22"/>
          <w:szCs w:val="22"/>
          <w:highlight w:val="none"/>
          <w:lang w:val="pl-PL" w:eastAsia="zh-CN" w:bidi="ar-SA"/>
        </w:rPr>
      </w:r>
      <w:r>
        <w:rPr>
          <w:rFonts w:eastAsia="Times New Roman" w:cs="Times New Roman"/>
          <w:color w:val="ff0000"/>
          <w:sz w:val="22"/>
          <w:szCs w:val="22"/>
          <w:highlight w:val="none"/>
          <w:lang w:val="pl-PL" w:eastAsia="zh-CN" w:bidi="ar-SA"/>
        </w:rPr>
      </w:r>
      <w:r>
        <w:rPr>
          <w:rFonts w:eastAsia="Times New Roman" w:cs="Times New Roman"/>
          <w:color w:val="ff0000"/>
          <w:sz w:val="22"/>
          <w:szCs w:val="22"/>
          <w:highlight w:val="none"/>
          <w:lang w:val="pl-PL" w:eastAsia="zh-CN" w:bidi="ar-SA"/>
        </w:rPr>
      </w:r>
    </w:p>
    <w:p w14:paraId="605CA302">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126FDE07">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3582F68F">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1B623579">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7E2346A1">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0E10FCF2">
      <w:pPr>
        <w:pStyle w:val="845"/>
        <w:pBdr/>
        <w:spacing w:after="0" w:before="0" w:line="240" w:lineRule="auto"/>
        <w:ind/>
        <w:jc w:val="left"/>
        <w:rPr>
          <w:rFonts w:ascii="Times New Roman" w:hAnsi="Times New Roman" w:eastAsia="Times New Roman" w:cs="Times New Roman"/>
          <w:b/>
          <w:bCs/>
          <w:sz w:val="20"/>
          <w:szCs w:val="20"/>
          <w:highlight w:val="none"/>
        </w:rPr>
      </w:pP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3BC17571">
      <w:pPr>
        <w:pStyle w:val="845"/>
        <w:pBdr/>
        <w:spacing w:after="0" w:before="0" w:line="240" w:lineRule="auto"/>
        <w:ind/>
        <w:jc w:val="right"/>
        <w:rPr>
          <w:rFonts w:ascii="Times New Roman" w:hAnsi="Times New Roman" w:eastAsia="Times New Roman" w:cs="Times New Roman"/>
          <w:b/>
          <w:bCs/>
          <w:sz w:val="20"/>
          <w:szCs w:val="20"/>
          <w:highlight w:val="none"/>
        </w:rPr>
      </w:pPr>
      <w:r>
        <w:rPr>
          <w:rFonts w:ascii="Times New Roman" w:hAnsi="Times New Roman" w:eastAsia="Times New Roman" w:cs="Times New Roman"/>
          <w:b/>
          <w:sz w:val="20"/>
          <w:szCs w:val="20"/>
          <w:highlight w:val="none"/>
        </w:rPr>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49CBBCA7">
      <w:pPr>
        <w:pStyle w:val="845"/>
        <w:pBdr/>
        <w:spacing w:after="0" w:before="0" w:line="240" w:lineRule="auto"/>
        <w:ind/>
        <w:jc w:val="right"/>
        <w:rPr>
          <w:rFonts w:ascii="Times New Roman" w:hAnsi="Times New Roman" w:eastAsia="Times New Roman" w:cs="Times New Roman"/>
          <w:b/>
          <w:bCs/>
          <w:sz w:val="20"/>
          <w:szCs w:val="20"/>
          <w:highlight w:val="none"/>
        </w:rPr>
      </w:pPr>
      <w:r>
        <w:rPr>
          <w:rFonts w:ascii="Times New Roman" w:hAnsi="Times New Roman" w:eastAsia="Times New Roman" w:cs="Times New Roman"/>
          <w:b/>
          <w:sz w:val="20"/>
          <w:szCs w:val="20"/>
        </w:rPr>
        <w:t xml:space="preserve">ZAŁĄCZNIK NR 3 </w:t>
      </w:r>
      <w:r>
        <w:rPr>
          <w:rFonts w:ascii="Times New Roman" w:hAnsi="Times New Roman" w:eastAsia="Times New Roman" w:cs="Times New Roman"/>
          <w:b/>
          <w:bCs/>
          <w:sz w:val="20"/>
          <w:szCs w:val="20"/>
          <w:highlight w:val="none"/>
        </w:rPr>
      </w:r>
      <w:r>
        <w:rPr>
          <w:rFonts w:ascii="Times New Roman" w:hAnsi="Times New Roman" w:eastAsia="Times New Roman" w:cs="Times New Roman"/>
          <w:b/>
          <w:bCs/>
          <w:sz w:val="20"/>
          <w:szCs w:val="20"/>
          <w:highlight w:val="none"/>
        </w:rPr>
      </w:r>
    </w:p>
    <w:p w14:paraId="4FBB05F4">
      <w:pPr>
        <w:pStyle w:val="845"/>
        <w:pBdr/>
        <w:spacing w:after="0" w:before="0" w:line="240" w:lineRule="auto"/>
        <w:ind/>
        <w:jc w:val="right"/>
        <w:rPr/>
      </w:pPr>
      <w:r>
        <w:rPr>
          <w:rFonts w:ascii="Times New Roman" w:hAnsi="Times New Roman" w:eastAsia="Times New Roman" w:cs="Times New Roman"/>
          <w:b/>
          <w:sz w:val="20"/>
          <w:szCs w:val="20"/>
        </w:rPr>
        <w:t xml:space="preserve">                                                                      </w:t>
      </w:r>
      <w:r>
        <w:rPr>
          <w:rFonts w:ascii="Times New Roman" w:hAnsi="Times New Roman" w:eastAsia="Times New Roman" w:cs="Times New Roman"/>
          <w:b/>
          <w:sz w:val="20"/>
          <w:szCs w:val="20"/>
        </w:rPr>
        <w:t xml:space="preserve">DO UCHWAŁY  NR 53/IX/2026</w:t>
      </w:r>
      <w:r/>
    </w:p>
    <w:p w14:paraId="4B1FA39A">
      <w:pPr>
        <w:pStyle w:val="845"/>
        <w:pBdr/>
        <w:spacing w:after="0" w:before="0" w:line="240" w:lineRule="auto"/>
        <w:ind w:left="3540"/>
        <w:jc w:val="right"/>
        <w:rPr/>
      </w:pPr>
      <w:r>
        <w:rPr>
          <w:rFonts w:ascii="Times New Roman" w:hAnsi="Times New Roman" w:eastAsia="Times New Roman" w:cs="Times New Roman"/>
          <w:b/>
          <w:sz w:val="20"/>
          <w:szCs w:val="20"/>
        </w:rPr>
        <w:t xml:space="preserve">           </w:t>
      </w:r>
      <w:r>
        <w:rPr>
          <w:rFonts w:ascii="Times New Roman" w:hAnsi="Times New Roman" w:eastAsia="Times New Roman" w:cs="Times New Roman"/>
          <w:b/>
          <w:sz w:val="20"/>
          <w:szCs w:val="20"/>
        </w:rPr>
        <w:t xml:space="preserve">RADY GMINY BRANIEWO</w:t>
      </w:r>
      <w:r/>
    </w:p>
    <w:p w14:paraId="782A6BF9">
      <w:pPr>
        <w:pStyle w:val="845"/>
        <w:pBdr/>
        <w:spacing w:after="0" w:before="0" w:line="240" w:lineRule="auto"/>
        <w:ind w:left="3540"/>
        <w:jc w:val="right"/>
        <w:rPr/>
      </w:pPr>
      <w:r>
        <w:rPr>
          <w:rFonts w:ascii="Times New Roman" w:hAnsi="Times New Roman" w:eastAsia="Times New Roman" w:cs="Times New Roman"/>
          <w:b/>
          <w:sz w:val="20"/>
          <w:szCs w:val="20"/>
        </w:rPr>
        <w:t xml:space="preserve">           </w:t>
      </w:r>
      <w:r>
        <w:rPr>
          <w:rFonts w:ascii="Times New Roman" w:hAnsi="Times New Roman" w:eastAsia="Times New Roman" w:cs="Times New Roman"/>
          <w:b/>
          <w:sz w:val="20"/>
          <w:szCs w:val="20"/>
        </w:rPr>
        <w:t xml:space="preserve">Z DNIA 26 CZERWCA 2026 ROKU</w:t>
      </w:r>
      <w:r/>
    </w:p>
    <w:p w14:paraId="15A1F34D">
      <w:pPr>
        <w:pStyle w:val="849"/>
        <w:pBdr/>
        <w:spacing/>
        <w:ind/>
        <w:jc w:val="right"/>
        <w:rPr/>
      </w:pPr>
      <w:r/>
      <w:r/>
    </w:p>
    <w:p w14:paraId="320B7F3C">
      <w:pPr>
        <w:pStyle w:val="849"/>
        <w:pBdr/>
        <w:spacing/>
        <w:ind/>
        <w:rPr>
          <w:highlight w:val="none"/>
        </w:rPr>
      </w:pPr>
      <w:r>
        <w:rPr>
          <w:highlight w:val="none"/>
        </w:rPr>
      </w:r>
      <w:r>
        <w:rPr>
          <w:highlight w:val="none"/>
        </w:rPr>
      </w:r>
      <w:r>
        <w:rPr>
          <w:highlight w:val="none"/>
        </w:rPr>
      </w:r>
    </w:p>
    <w:p w14:paraId="62376C41">
      <w:pPr>
        <w:pStyle w:val="849"/>
        <w:pBdr/>
        <w:spacing/>
        <w:ind/>
        <w:rPr>
          <w:highlight w:val="none"/>
        </w:rPr>
      </w:pPr>
      <w:r>
        <mc:AlternateContent>
          <mc:Choice Requires="wpg">
            <w:drawing>
              <wp:anchor xmlns:wp="http://schemas.openxmlformats.org/drawingml/2006/wordprocessingDrawing" xmlns:wp14="http://schemas.microsoft.com/office/word/2010/wordprocessingDrawing" distT="0" distB="0" distL="114300" distR="114300" simplePos="0" relativeHeight="2" behindDoc="0" locked="0" layoutInCell="1" allowOverlap="1">
                <wp:simplePos x="0" y="0"/>
                <wp:positionH relativeFrom="margin">
                  <wp:align>center</wp:align>
                </wp:positionH>
                <wp:positionV relativeFrom="paragraph">
                  <wp:posOffset>635</wp:posOffset>
                </wp:positionV>
                <wp:extent cx="1584960" cy="1491615"/>
                <wp:effectExtent l="0" t="0" r="0" b="0"/>
                <wp:wrapTight wrapText="bothSides">
                  <wp:wrapPolygon edited="1">
                    <wp:start x="-105" y="0"/>
                    <wp:lineTo x="-105" y="21158"/>
                    <wp:lineTo x="21280" y="21158"/>
                    <wp:lineTo x="21280" y="0"/>
                    <wp:lineTo x="-105" y="0"/>
                  </wp:wrapPolygon>
                </wp:wrapTight>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99641" name="Obraz 2"/>
                        <pic:cNvPicPr>
                          <a:picLocks noChangeAspect="1"/>
                        </pic:cNvPicPr>
                        <pic:nvPr/>
                      </pic:nvPicPr>
                      <pic:blipFill rotWithShape="1">
                        <a:blip r:embed="rId14"/>
                        <a:stretch/>
                      </pic:blipFill>
                      <pic:spPr bwMode="auto">
                        <a:xfrm>
                          <a:off x="0" y="0"/>
                          <a:ext cx="1584959" cy="149161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o:allowoverlap:true;o:allowincell:true;mso-position-horizontal-relative:margin;mso-position-horizontal:center;mso-position-vertical-relative:text;margin-top:0.05pt;mso-position-vertical:absolute;width:124.80pt;height:117.45pt;mso-wrap-distance-left:9.00pt;mso-wrap-distance-top:0.00pt;mso-wrap-distance-right:9.00pt;mso-wrap-distance-bottom:0.00pt;z-index:1;" wrapcoords="-485 0 -485 97954 98519 97954 98519 0 -485 0" stroked="false">
                <w10:wrap type="tight"/>
                <v:imagedata r:id="rId14" o:title=""/>
                <o:lock v:ext="edit" rotation="t"/>
              </v:shape>
            </w:pict>
          </mc:Fallback>
        </mc:AlternateContent>
      </w:r>
      <w:r>
        <w:rPr>
          <w:highlight w:val="none"/>
        </w:rPr>
      </w:r>
      <w:r>
        <w:rPr>
          <w:highlight w:val="none"/>
        </w:rPr>
      </w:r>
    </w:p>
    <w:p w14:paraId="49579911">
      <w:pPr>
        <w:pStyle w:val="845"/>
        <w:pBdr/>
        <w:spacing/>
        <w:ind/>
        <w:rPr/>
      </w:pPr>
      <w:r/>
      <w:r/>
    </w:p>
    <w:p w14:paraId="50F6DA18">
      <w:pPr>
        <w:pStyle w:val="845"/>
        <w:pBdr/>
        <w:spacing/>
        <w:ind/>
        <w:rPr/>
      </w:pPr>
      <w:r/>
      <w:r/>
    </w:p>
    <w:p w14:paraId="796FEDC1">
      <w:pPr>
        <w:pStyle w:val="845"/>
        <w:pBdr/>
        <w:spacing/>
        <w:ind/>
        <w:rPr/>
      </w:pPr>
      <w:r/>
      <w:r/>
    </w:p>
    <w:p w14:paraId="10041E73">
      <w:pPr>
        <w:pStyle w:val="845"/>
        <w:pBdr/>
        <w:spacing/>
        <w:ind/>
        <w:rPr/>
      </w:pPr>
      <w:r/>
      <w:r/>
    </w:p>
    <w:p w14:paraId="592E9B60">
      <w:pPr>
        <w:pStyle w:val="845"/>
        <w:pBdr/>
        <w:spacing/>
        <w:ind/>
        <w:rPr/>
      </w:pPr>
      <w:r/>
      <w:r/>
    </w:p>
    <w:p w14:paraId="3FF8F7ED">
      <w:pPr>
        <w:pStyle w:val="845"/>
        <w:pBdr/>
        <w:spacing/>
        <w:ind/>
        <w:jc w:val="center"/>
        <w:rPr>
          <w:b/>
          <w:bCs/>
          <w:sz w:val="48"/>
          <w:szCs w:val="48"/>
        </w:rPr>
      </w:pPr>
      <w:r>
        <w:rPr>
          <w:b/>
          <w:bCs/>
          <w:sz w:val="48"/>
          <w:szCs w:val="48"/>
        </w:rPr>
      </w:r>
      <w:r>
        <w:rPr>
          <w:b/>
          <w:bCs/>
          <w:sz w:val="48"/>
          <w:szCs w:val="48"/>
        </w:rPr>
      </w:r>
      <w:r>
        <w:rPr>
          <w:b/>
          <w:bCs/>
          <w:sz w:val="48"/>
          <w:szCs w:val="48"/>
        </w:rPr>
      </w:r>
    </w:p>
    <w:p w14:paraId="487A795D">
      <w:pPr>
        <w:pStyle w:val="845"/>
        <w:pBdr/>
        <w:spacing/>
        <w:ind/>
        <w:jc w:val="center"/>
        <w:rPr>
          <w:b/>
          <w:bCs/>
          <w:sz w:val="48"/>
          <w:szCs w:val="48"/>
        </w:rPr>
      </w:pPr>
      <w:r>
        <w:rPr>
          <w:b/>
          <w:bCs/>
          <w:sz w:val="48"/>
          <w:szCs w:val="48"/>
        </w:rPr>
        <w:t xml:space="preserve">              </w:t>
      </w:r>
      <w:r>
        <w:rPr>
          <w:b/>
          <w:bCs/>
          <w:sz w:val="48"/>
          <w:szCs w:val="48"/>
        </w:rPr>
      </w:r>
      <w:r>
        <w:rPr>
          <w:b/>
          <w:bCs/>
          <w:sz w:val="48"/>
          <w:szCs w:val="48"/>
        </w:rPr>
      </w:r>
    </w:p>
    <w:p w14:paraId="36CC5615">
      <w:pPr>
        <w:pStyle w:val="845"/>
        <w:pBdr/>
        <w:spacing/>
        <w:ind/>
        <w:jc w:val="center"/>
        <w:rPr>
          <w:b/>
          <w:bCs/>
          <w:sz w:val="48"/>
          <w:szCs w:val="48"/>
        </w:rPr>
      </w:pPr>
      <w:r>
        <w:rPr>
          <w:b/>
          <w:bCs/>
          <w:sz w:val="48"/>
          <w:szCs w:val="48"/>
          <w:highlight w:val="none"/>
        </w:rPr>
      </w:r>
      <w:r>
        <w:rPr>
          <w:b/>
          <w:bCs/>
          <w:sz w:val="48"/>
          <w:szCs w:val="48"/>
        </w:rPr>
      </w:r>
      <w:r>
        <w:rPr>
          <w:b/>
          <w:bCs/>
          <w:sz w:val="48"/>
          <w:szCs w:val="48"/>
        </w:rPr>
      </w:r>
    </w:p>
    <w:p w14:paraId="52D377C7">
      <w:pPr>
        <w:pStyle w:val="845"/>
        <w:pBdr/>
        <w:spacing/>
        <w:ind/>
        <w:jc w:val="center"/>
        <w:rPr>
          <w:b/>
          <w:bCs/>
          <w:sz w:val="48"/>
          <w:szCs w:val="48"/>
          <w:highlight w:val="none"/>
        </w:rPr>
      </w:pPr>
      <w:r>
        <w:rPr>
          <w:b/>
          <w:bCs/>
          <w:sz w:val="48"/>
          <w:szCs w:val="48"/>
          <w:highlight w:val="none"/>
        </w:rPr>
      </w:r>
      <w:r>
        <w:rPr>
          <w:b/>
          <w:bCs/>
          <w:sz w:val="48"/>
          <w:szCs w:val="48"/>
          <w:highlight w:val="none"/>
        </w:rPr>
      </w:r>
      <w:r>
        <w:rPr>
          <w:b/>
          <w:bCs/>
          <w:sz w:val="48"/>
          <w:szCs w:val="48"/>
          <w:highlight w:val="none"/>
        </w:rPr>
      </w:r>
    </w:p>
    <w:p w14:paraId="55AC4B63">
      <w:pPr>
        <w:pStyle w:val="845"/>
        <w:pBdr/>
        <w:spacing/>
        <w:ind/>
        <w:jc w:val="center"/>
        <w:rPr>
          <w:b/>
          <w:bCs/>
          <w:sz w:val="48"/>
          <w:szCs w:val="48"/>
          <w:highlight w:val="none"/>
        </w:rPr>
      </w:pPr>
      <w:r>
        <w:rPr>
          <w:b/>
          <w:bCs/>
          <w:sz w:val="48"/>
          <w:szCs w:val="48"/>
          <w:highlight w:val="none"/>
        </w:rPr>
      </w:r>
      <w:r>
        <w:rPr>
          <w:b/>
          <w:bCs/>
          <w:sz w:val="48"/>
          <w:szCs w:val="48"/>
          <w:highlight w:val="none"/>
        </w:rPr>
      </w:r>
      <w:r>
        <w:rPr>
          <w:b/>
          <w:bCs/>
          <w:sz w:val="48"/>
          <w:szCs w:val="48"/>
          <w:highlight w:val="none"/>
        </w:rPr>
      </w:r>
    </w:p>
    <w:p w14:paraId="079BE064">
      <w:pPr>
        <w:pStyle w:val="845"/>
        <w:pBdr/>
        <w:spacing/>
        <w:ind/>
        <w:jc w:val="center"/>
        <w:rPr>
          <w:b/>
          <w:bCs/>
          <w:sz w:val="48"/>
          <w:szCs w:val="48"/>
          <w:highlight w:val="none"/>
        </w:rPr>
      </w:pPr>
      <w:r>
        <w:rPr>
          <w:b/>
          <w:bCs/>
          <w:sz w:val="48"/>
          <w:szCs w:val="48"/>
        </w:rPr>
        <w:t xml:space="preserve">Lokalny Plan Deinstytucjonalizacji Usług Społecznych w Gminie Braniewo </w:t>
        <w:br/>
        <w:t xml:space="preserve">na lata 2026-2030</w:t>
      </w:r>
      <w:r>
        <w:rPr>
          <w:b/>
          <w:bCs/>
          <w:sz w:val="48"/>
          <w:szCs w:val="48"/>
          <w:highlight w:val="none"/>
        </w:rPr>
      </w:r>
      <w:r>
        <w:rPr>
          <w:b/>
          <w:bCs/>
          <w:sz w:val="48"/>
          <w:szCs w:val="48"/>
          <w:highlight w:val="none"/>
        </w:rPr>
      </w:r>
    </w:p>
    <w:p w14:paraId="54569247">
      <w:pPr>
        <w:pStyle w:val="845"/>
        <w:pBdr/>
        <w:spacing/>
        <w:ind/>
        <w:jc w:val="left"/>
        <w:rPr>
          <w:sz w:val="48"/>
          <w:szCs w:val="48"/>
        </w:rPr>
      </w:pPr>
      <w:r>
        <w:rPr>
          <w:sz w:val="48"/>
          <w:szCs w:val="48"/>
        </w:rPr>
      </w:r>
      <w:r>
        <w:rPr>
          <w:sz w:val="48"/>
          <w:szCs w:val="48"/>
        </w:rPr>
      </w:r>
      <w:r>
        <w:rPr>
          <w:sz w:val="48"/>
          <w:szCs w:val="48"/>
        </w:rPr>
      </w:r>
    </w:p>
    <w:p w14:paraId="4A3178AC">
      <w:pPr>
        <w:pStyle w:val="845"/>
        <w:pBdr/>
        <w:spacing/>
        <w:ind/>
        <w:jc w:val="left"/>
        <w:rPr>
          <w:sz w:val="48"/>
          <w:szCs w:val="48"/>
        </w:rPr>
      </w:pPr>
      <w:r>
        <w:rPr>
          <w:sz w:val="48"/>
          <w:szCs w:val="48"/>
        </w:rPr>
      </w:r>
      <w:r>
        <w:rPr>
          <w:sz w:val="48"/>
          <w:szCs w:val="48"/>
        </w:rPr>
      </w:r>
      <w:r>
        <w:rPr>
          <w:sz w:val="48"/>
          <w:szCs w:val="48"/>
        </w:rPr>
      </w:r>
    </w:p>
    <w:p w14:paraId="64B74AF5">
      <w:pPr>
        <w:pStyle w:val="845"/>
        <w:pBdr/>
        <w:spacing/>
        <w:ind/>
        <w:jc w:val="center"/>
        <w:rPr>
          <w:sz w:val="48"/>
          <w:szCs w:val="48"/>
        </w:rPr>
      </w:pPr>
      <w:r>
        <w:rPr>
          <w:sz w:val="48"/>
          <w:szCs w:val="48"/>
        </w:rPr>
      </w:r>
      <w:r>
        <w:rPr>
          <w:sz w:val="48"/>
          <w:szCs w:val="48"/>
        </w:rPr>
      </w:r>
      <w:r>
        <w:rPr>
          <w:sz w:val="48"/>
          <w:szCs w:val="48"/>
        </w:rPr>
      </w:r>
    </w:p>
    <w:p w14:paraId="35C87E36">
      <w:pPr>
        <w:pStyle w:val="845"/>
        <w:pBdr/>
        <w:spacing/>
        <w:ind/>
        <w:rPr>
          <w:b/>
          <w:bCs/>
          <w:sz w:val="20"/>
          <w:szCs w:val="20"/>
        </w:rPr>
      </w:pPr>
      <w:r>
        <w:rPr>
          <w:b/>
          <w:bCs/>
          <w:sz w:val="20"/>
          <w:szCs w:val="20"/>
        </w:rPr>
      </w:r>
      <w:r>
        <w:rPr>
          <w:b/>
          <w:bCs/>
          <w:sz w:val="20"/>
          <w:szCs w:val="20"/>
        </w:rPr>
      </w:r>
      <w:r>
        <w:rPr>
          <w:b/>
          <w:bCs/>
          <w:sz w:val="20"/>
          <w:szCs w:val="20"/>
        </w:rPr>
      </w:r>
    </w:p>
    <w:p w14:paraId="33E773C5">
      <w:pPr>
        <w:pStyle w:val="845"/>
        <w:pBdr/>
        <w:spacing/>
        <w:ind/>
        <w:rPr>
          <w:b/>
          <w:bCs/>
          <w:sz w:val="20"/>
          <w:szCs w:val="20"/>
        </w:rPr>
      </w:pPr>
      <w:r>
        <w:rPr>
          <w:b/>
          <w:bCs/>
          <w:sz w:val="20"/>
          <w:szCs w:val="20"/>
        </w:rPr>
      </w:r>
      <w:r>
        <w:rPr>
          <w:b/>
          <w:bCs/>
          <w:sz w:val="20"/>
          <w:szCs w:val="20"/>
        </w:rPr>
      </w:r>
      <w:r>
        <w:rPr>
          <w:b/>
          <w:bCs/>
          <w:sz w:val="20"/>
          <w:szCs w:val="20"/>
        </w:rPr>
      </w:r>
    </w:p>
    <w:p w14:paraId="2823B45E">
      <w:pPr>
        <w:pStyle w:val="845"/>
        <w:pBdr/>
        <w:spacing/>
        <w:ind/>
        <w:rPr>
          <w:b/>
          <w:bCs/>
          <w:sz w:val="20"/>
          <w:szCs w:val="20"/>
        </w:rPr>
      </w:pPr>
      <w:r>
        <w:rPr>
          <w:b/>
          <w:bCs/>
          <w:sz w:val="20"/>
          <w:szCs w:val="20"/>
        </w:rPr>
      </w:r>
      <w:r>
        <w:rPr>
          <w:b/>
          <w:bCs/>
          <w:sz w:val="20"/>
          <w:szCs w:val="20"/>
        </w:rPr>
      </w:r>
      <w:r>
        <w:rPr>
          <w:b/>
          <w:bCs/>
          <w:sz w:val="20"/>
          <w:szCs w:val="20"/>
        </w:rPr>
      </w:r>
    </w:p>
    <w:p w14:paraId="3BA7588C">
      <w:pPr>
        <w:pStyle w:val="845"/>
        <w:pBdr/>
        <w:spacing/>
        <w:ind/>
        <w:rPr>
          <w:b/>
          <w:bCs/>
          <w:sz w:val="20"/>
          <w:szCs w:val="20"/>
        </w:rPr>
      </w:pPr>
      <w:r>
        <w:rPr>
          <w:b/>
          <w:bCs/>
          <w:sz w:val="20"/>
          <w:szCs w:val="20"/>
        </w:rPr>
      </w:r>
      <w:r>
        <w:rPr>
          <w:b/>
          <w:bCs/>
          <w:sz w:val="20"/>
          <w:szCs w:val="20"/>
        </w:rPr>
      </w:r>
      <w:r>
        <w:rPr>
          <w:b/>
          <w:bCs/>
          <w:sz w:val="20"/>
          <w:szCs w:val="20"/>
        </w:rPr>
      </w:r>
    </w:p>
    <w:p w14:paraId="4C359BBF">
      <w:pPr>
        <w:pStyle w:val="845"/>
        <w:pBdr/>
        <w:spacing/>
        <w:ind/>
        <w:rPr>
          <w:b/>
          <w:bCs/>
          <w:sz w:val="20"/>
          <w:szCs w:val="20"/>
        </w:rPr>
      </w:pPr>
      <w:r>
        <w:rPr>
          <w:b/>
          <w:bCs/>
          <w:sz w:val="20"/>
          <w:szCs w:val="20"/>
        </w:rPr>
      </w:r>
      <w:r>
        <w:rPr>
          <w:b/>
          <w:bCs/>
          <w:sz w:val="20"/>
          <w:szCs w:val="20"/>
        </w:rPr>
      </w:r>
      <w:r>
        <w:rPr>
          <w:b/>
          <w:bCs/>
          <w:sz w:val="20"/>
          <w:szCs w:val="20"/>
        </w:rPr>
      </w:r>
    </w:p>
    <w:p w14:paraId="6A379E3B">
      <w:pPr>
        <w:pStyle w:val="845"/>
        <w:pBdr/>
        <w:spacing/>
        <w:ind/>
        <w:rPr>
          <w:b/>
          <w:bCs/>
          <w:sz w:val="20"/>
          <w:szCs w:val="20"/>
        </w:rPr>
      </w:pPr>
      <w:r>
        <w:rPr>
          <w:b/>
          <w:bCs/>
          <w:sz w:val="20"/>
          <w:szCs w:val="20"/>
        </w:rPr>
      </w:r>
      <w:r>
        <w:rPr>
          <w:b/>
          <w:bCs/>
          <w:sz w:val="20"/>
          <w:szCs w:val="20"/>
        </w:rPr>
      </w:r>
      <w:r>
        <w:rPr>
          <w:b/>
          <w:bCs/>
          <w:sz w:val="20"/>
          <w:szCs w:val="20"/>
        </w:rPr>
      </w:r>
    </w:p>
    <w:p w14:paraId="434007EF">
      <w:pPr>
        <w:pStyle w:val="845"/>
        <w:pBdr/>
        <w:spacing/>
        <w:ind/>
        <w:rPr>
          <w:b/>
          <w:bCs/>
          <w:sz w:val="20"/>
          <w:szCs w:val="20"/>
        </w:rPr>
      </w:pPr>
      <w:r>
        <w:rPr>
          <w:b/>
          <w:bCs/>
          <w:sz w:val="20"/>
          <w:szCs w:val="20"/>
        </w:rPr>
      </w:r>
      <w:r>
        <w:rPr>
          <w:b/>
          <w:bCs/>
          <w:sz w:val="20"/>
          <w:szCs w:val="20"/>
        </w:rPr>
      </w:r>
      <w:r>
        <w:rPr>
          <w:b/>
          <w:bCs/>
          <w:sz w:val="20"/>
          <w:szCs w:val="20"/>
        </w:rPr>
      </w:r>
    </w:p>
    <w:p w14:paraId="1B5DFC6F">
      <w:pPr>
        <w:pStyle w:val="845"/>
        <w:pBdr/>
        <w:spacing/>
        <w:ind/>
        <w:rPr>
          <w:b/>
          <w:bCs/>
          <w:sz w:val="20"/>
          <w:szCs w:val="20"/>
        </w:rPr>
      </w:pPr>
      <w:r>
        <w:rPr>
          <w:b/>
          <w:bCs/>
          <w:sz w:val="20"/>
          <w:szCs w:val="20"/>
        </w:rPr>
      </w:r>
      <w:r>
        <w:rPr>
          <w:b/>
          <w:bCs/>
          <w:sz w:val="20"/>
          <w:szCs w:val="20"/>
        </w:rPr>
      </w:r>
      <w:r>
        <w:rPr>
          <w:b/>
          <w:bCs/>
          <w:sz w:val="20"/>
          <w:szCs w:val="20"/>
        </w:rPr>
      </w:r>
    </w:p>
    <w:p w14:paraId="03BDDAB7">
      <w:pPr>
        <w:pStyle w:val="845"/>
        <w:pBdr/>
        <w:spacing/>
        <w:ind/>
        <w:rPr>
          <w:b/>
          <w:bCs/>
          <w:sz w:val="20"/>
          <w:szCs w:val="20"/>
        </w:rPr>
      </w:pPr>
      <w:r>
        <w:rPr>
          <w:b/>
          <w:bCs/>
          <w:sz w:val="20"/>
          <w:szCs w:val="20"/>
        </w:rPr>
      </w:r>
      <w:r>
        <w:rPr>
          <w:b/>
          <w:bCs/>
          <w:sz w:val="20"/>
          <w:szCs w:val="20"/>
        </w:rPr>
      </w:r>
      <w:r>
        <w:rPr>
          <w:b/>
          <w:bCs/>
          <w:sz w:val="20"/>
          <w:szCs w:val="20"/>
        </w:rPr>
      </w:r>
    </w:p>
    <w:p w14:paraId="7BC04AC6">
      <w:pPr>
        <w:pStyle w:val="845"/>
        <w:pBdr/>
        <w:spacing/>
        <w:ind/>
        <w:rPr>
          <w:b/>
          <w:bCs/>
          <w:sz w:val="20"/>
          <w:szCs w:val="20"/>
        </w:rPr>
      </w:pPr>
      <w:r>
        <w:rPr>
          <w:b/>
          <w:bCs/>
          <w:sz w:val="20"/>
          <w:szCs w:val="20"/>
        </w:rPr>
      </w:r>
      <w:r>
        <w:rPr>
          <w:b/>
          <w:bCs/>
          <w:sz w:val="20"/>
          <w:szCs w:val="20"/>
        </w:rPr>
      </w:r>
      <w:r>
        <w:rPr>
          <w:b/>
          <w:bCs/>
          <w:sz w:val="20"/>
          <w:szCs w:val="20"/>
        </w:rPr>
      </w:r>
    </w:p>
    <w:p w14:paraId="74B81C19">
      <w:pPr>
        <w:pStyle w:val="845"/>
        <w:pBdr/>
        <w:spacing/>
        <w:ind/>
        <w:rPr>
          <w:b/>
          <w:bCs/>
          <w:sz w:val="20"/>
          <w:szCs w:val="20"/>
        </w:rPr>
      </w:pPr>
      <w:r>
        <w:rPr>
          <w:b/>
          <w:bCs/>
          <w:sz w:val="20"/>
          <w:szCs w:val="20"/>
        </w:rPr>
      </w:r>
      <w:r>
        <w:rPr>
          <w:b/>
          <w:bCs/>
          <w:sz w:val="20"/>
          <w:szCs w:val="20"/>
        </w:rPr>
      </w:r>
      <w:r>
        <w:rPr>
          <w:b/>
          <w:bCs/>
          <w:sz w:val="20"/>
          <w:szCs w:val="20"/>
        </w:rPr>
      </w:r>
    </w:p>
    <w:p w14:paraId="3F0A9560">
      <w:pPr>
        <w:pStyle w:val="845"/>
        <w:pBdr/>
        <w:spacing/>
        <w:ind/>
        <w:rPr>
          <w:b/>
          <w:bCs/>
          <w:sz w:val="20"/>
          <w:szCs w:val="20"/>
        </w:rPr>
      </w:pPr>
      <w:r>
        <w:rPr>
          <w:b/>
          <w:bCs/>
          <w:sz w:val="20"/>
          <w:szCs w:val="20"/>
        </w:rPr>
      </w:r>
      <w:r>
        <w:rPr>
          <w:b/>
          <w:bCs/>
          <w:sz w:val="20"/>
          <w:szCs w:val="20"/>
        </w:rPr>
      </w:r>
      <w:r>
        <w:rPr>
          <w:b/>
          <w:bCs/>
          <w:sz w:val="20"/>
          <w:szCs w:val="20"/>
        </w:rPr>
      </w:r>
    </w:p>
    <w:p w14:paraId="0A506183">
      <w:pPr>
        <w:pStyle w:val="845"/>
        <w:pBdr/>
        <w:spacing/>
        <w:ind/>
        <w:rPr>
          <w:b/>
          <w:bCs/>
          <w:sz w:val="20"/>
          <w:szCs w:val="20"/>
        </w:rPr>
      </w:pPr>
      <w:r>
        <w:rPr>
          <w:b/>
          <w:bCs/>
          <w:sz w:val="20"/>
          <w:szCs w:val="20"/>
        </w:rPr>
      </w:r>
      <w:r>
        <w:rPr>
          <w:b/>
          <w:bCs/>
          <w:sz w:val="20"/>
          <w:szCs w:val="20"/>
        </w:rPr>
      </w:r>
      <w:r>
        <w:rPr>
          <w:b/>
          <w:bCs/>
          <w:sz w:val="20"/>
          <w:szCs w:val="20"/>
        </w:rPr>
      </w:r>
    </w:p>
    <w:p w14:paraId="1A69785E">
      <w:pPr>
        <w:pStyle w:val="845"/>
        <w:pBdr/>
        <w:spacing/>
        <w:ind/>
        <w:rPr>
          <w:b/>
          <w:bCs/>
          <w:sz w:val="20"/>
          <w:szCs w:val="20"/>
        </w:rPr>
      </w:pPr>
      <w:r>
        <w:rPr>
          <w:b/>
          <w:bCs/>
          <w:sz w:val="20"/>
          <w:szCs w:val="20"/>
        </w:rPr>
      </w:r>
      <w:r>
        <w:rPr>
          <w:b/>
          <w:bCs/>
          <w:sz w:val="20"/>
          <w:szCs w:val="20"/>
        </w:rPr>
      </w:r>
      <w:r>
        <w:rPr>
          <w:b/>
          <w:bCs/>
          <w:sz w:val="20"/>
          <w:szCs w:val="20"/>
        </w:rPr>
      </w:r>
    </w:p>
    <w:p w14:paraId="1F4BD41E">
      <w:pPr>
        <w:pStyle w:val="845"/>
        <w:pBdr/>
        <w:spacing/>
        <w:ind/>
        <w:rPr>
          <w:b/>
          <w:bCs/>
          <w:sz w:val="20"/>
          <w:szCs w:val="20"/>
        </w:rPr>
      </w:pPr>
      <w:r>
        <w:rPr>
          <w:b/>
          <w:bCs/>
          <w:sz w:val="20"/>
          <w:szCs w:val="20"/>
        </w:rPr>
      </w:r>
      <w:r>
        <w:rPr>
          <w:b/>
          <w:bCs/>
          <w:sz w:val="20"/>
          <w:szCs w:val="20"/>
        </w:rPr>
      </w:r>
      <w:r>
        <w:rPr>
          <w:b/>
          <w:bCs/>
          <w:sz w:val="20"/>
          <w:szCs w:val="20"/>
        </w:rPr>
      </w:r>
    </w:p>
    <w:p w14:paraId="00B96E0D">
      <w:pPr>
        <w:pStyle w:val="845"/>
        <w:pBdr/>
        <w:spacing/>
        <w:ind/>
        <w:rPr>
          <w:b/>
          <w:bCs/>
          <w:sz w:val="20"/>
          <w:szCs w:val="20"/>
        </w:rPr>
      </w:pPr>
      <w:r>
        <w:rPr>
          <w:b/>
          <w:bCs/>
          <w:sz w:val="20"/>
          <w:szCs w:val="20"/>
        </w:rPr>
      </w:r>
      <w:r>
        <w:rPr>
          <w:b/>
          <w:bCs/>
          <w:sz w:val="20"/>
          <w:szCs w:val="20"/>
        </w:rPr>
      </w:r>
      <w:r>
        <w:rPr>
          <w:b/>
          <w:bCs/>
          <w:sz w:val="20"/>
          <w:szCs w:val="20"/>
        </w:rPr>
      </w:r>
    </w:p>
    <w:p w14:paraId="2A8FB733">
      <w:pPr>
        <w:pStyle w:val="845"/>
        <w:pBdr/>
        <w:spacing/>
        <w:ind/>
        <w:rPr>
          <w:b/>
          <w:bCs/>
          <w:sz w:val="20"/>
          <w:szCs w:val="20"/>
        </w:rPr>
      </w:pPr>
      <w:r>
        <w:rPr>
          <w:b/>
          <w:bCs/>
          <w:sz w:val="20"/>
          <w:szCs w:val="20"/>
        </w:rPr>
      </w:r>
      <w:r>
        <w:rPr>
          <w:b/>
          <w:bCs/>
          <w:sz w:val="20"/>
          <w:szCs w:val="20"/>
        </w:rPr>
      </w:r>
      <w:r>
        <w:rPr>
          <w:b/>
          <w:bCs/>
          <w:sz w:val="20"/>
          <w:szCs w:val="20"/>
        </w:rPr>
      </w:r>
    </w:p>
    <w:p w14:paraId="6B44A282">
      <w:pPr>
        <w:pStyle w:val="845"/>
        <w:pBdr/>
        <w:spacing/>
        <w:ind/>
        <w:rPr>
          <w:b/>
          <w:bCs/>
          <w:sz w:val="20"/>
          <w:szCs w:val="20"/>
        </w:rPr>
      </w:pPr>
      <w:r>
        <w:rPr>
          <w:b/>
          <w:bCs/>
          <w:sz w:val="20"/>
          <w:szCs w:val="20"/>
        </w:rPr>
      </w:r>
      <w:r>
        <w:rPr>
          <w:b/>
          <w:bCs/>
          <w:sz w:val="20"/>
          <w:szCs w:val="20"/>
        </w:rPr>
      </w:r>
      <w:r>
        <w:rPr>
          <w:b/>
          <w:bCs/>
          <w:sz w:val="20"/>
          <w:szCs w:val="20"/>
        </w:rPr>
      </w:r>
    </w:p>
    <w:p w14:paraId="77E9676C">
      <w:pPr>
        <w:pStyle w:val="845"/>
        <w:pBdr/>
        <w:spacing/>
        <w:ind/>
        <w:jc w:val="center"/>
        <w:rPr>
          <w:b/>
          <w:bCs/>
          <w:sz w:val="32"/>
          <w:szCs w:val="32"/>
          <w:highlight w:val="none"/>
        </w:rPr>
      </w:pPr>
      <w:r>
        <w:rPr>
          <w:b/>
          <w:bCs/>
          <w:sz w:val="32"/>
          <w:szCs w:val="32"/>
        </w:rPr>
        <w:t xml:space="preserve">Braniewo 2026</w:t>
      </w:r>
      <w:r>
        <w:rPr>
          <w:b/>
          <w:bCs/>
          <w:sz w:val="32"/>
          <w:szCs w:val="32"/>
          <w:highlight w:val="none"/>
        </w:rPr>
      </w:r>
      <w:r>
        <w:rPr>
          <w:b/>
          <w:bCs/>
          <w:sz w:val="32"/>
          <w:szCs w:val="32"/>
          <w:highlight w:val="none"/>
        </w:rPr>
      </w:r>
    </w:p>
    <w:p w14:paraId="06E28E00">
      <w:pPr>
        <w:pStyle w:val="845"/>
        <w:pBdr/>
        <w:spacing/>
        <w:ind/>
        <w:jc w:val="center"/>
        <w:rPr>
          <w:b/>
          <w:bCs/>
          <w:sz w:val="32"/>
          <w:szCs w:val="32"/>
          <w:highlight w:val="none"/>
        </w:rPr>
      </w:pPr>
      <w:r>
        <w:rPr>
          <w:b/>
          <w:bCs/>
          <w:sz w:val="32"/>
          <w:szCs w:val="32"/>
          <w:highlight w:val="none"/>
        </w:rPr>
      </w:r>
      <w:r>
        <w:rPr>
          <w:b/>
          <w:bCs/>
          <w:sz w:val="32"/>
          <w:szCs w:val="32"/>
          <w:highlight w:val="none"/>
        </w:rPr>
      </w:r>
      <w:r>
        <w:rPr>
          <w:b/>
          <w:bCs/>
          <w:sz w:val="32"/>
          <w:szCs w:val="32"/>
          <w:highlight w:val="none"/>
        </w:rPr>
      </w:r>
    </w:p>
    <w:p w14:paraId="0F9A4EA6">
      <w:pPr>
        <w:pStyle w:val="845"/>
        <w:pBdr/>
        <w:spacing/>
        <w:ind/>
        <w:jc w:val="center"/>
        <w:rPr>
          <w:b/>
          <w:bCs/>
          <w:sz w:val="32"/>
          <w:szCs w:val="32"/>
          <w:highlight w:val="none"/>
        </w:rPr>
      </w:pPr>
      <w:r>
        <w:rPr>
          <w:b/>
          <w:bCs/>
          <w:sz w:val="32"/>
          <w:szCs w:val="32"/>
          <w:highlight w:val="none"/>
        </w:rPr>
      </w:r>
      <w:r>
        <w:rPr>
          <w:b/>
          <w:bCs/>
          <w:sz w:val="32"/>
          <w:szCs w:val="32"/>
          <w:highlight w:val="none"/>
        </w:rPr>
      </w:r>
      <w:r>
        <w:rPr>
          <w:b/>
          <w:bCs/>
          <w:sz w:val="32"/>
          <w:szCs w:val="32"/>
          <w:highlight w:val="none"/>
        </w:rPr>
      </w:r>
    </w:p>
    <w:p w14:paraId="0283044C">
      <w:pPr>
        <w:pStyle w:val="845"/>
        <w:pBdr/>
        <w:spacing/>
        <w:ind/>
        <w:jc w:val="center"/>
        <w:rPr>
          <w:b/>
          <w:bCs/>
          <w:sz w:val="32"/>
          <w:szCs w:val="32"/>
          <w:highlight w:val="none"/>
        </w:rPr>
      </w:pPr>
      <w:r>
        <w:rPr>
          <w:b/>
          <w:bCs/>
          <w:sz w:val="32"/>
          <w:szCs w:val="32"/>
          <w:highlight w:val="none"/>
        </w:rPr>
      </w:r>
      <w:r>
        <w:rPr>
          <w:b/>
          <w:bCs/>
          <w:sz w:val="32"/>
          <w:szCs w:val="32"/>
          <w:highlight w:val="none"/>
        </w:rPr>
      </w:r>
      <w:r>
        <w:rPr>
          <w:b/>
          <w:bCs/>
          <w:sz w:val="32"/>
          <w:szCs w:val="32"/>
          <w:highlight w:val="none"/>
        </w:rPr>
      </w:r>
    </w:p>
    <w:p w14:paraId="678A0CD5">
      <w:pPr>
        <w:pStyle w:val="845"/>
        <w:pBdr/>
        <w:spacing/>
        <w:ind/>
        <w:jc w:val="center"/>
        <w:rPr>
          <w:b/>
          <w:bCs/>
          <w:sz w:val="32"/>
          <w:szCs w:val="32"/>
          <w:highlight w:val="none"/>
        </w:rPr>
      </w:pPr>
      <w:r>
        <w:rPr>
          <w:b/>
          <w:bCs/>
          <w:sz w:val="32"/>
          <w:szCs w:val="32"/>
          <w:highlight w:val="none"/>
        </w:rPr>
      </w:r>
      <w:r>
        <w:rPr>
          <w:b/>
          <w:bCs/>
          <w:sz w:val="32"/>
          <w:szCs w:val="32"/>
          <w:highlight w:val="none"/>
        </w:rPr>
      </w:r>
      <w:r>
        <w:rPr>
          <w:b/>
          <w:bCs/>
          <w:sz w:val="32"/>
          <w:szCs w:val="32"/>
          <w:highlight w:val="none"/>
        </w:rPr>
      </w:r>
    </w:p>
    <w:p w14:paraId="2101EF23">
      <w:pPr>
        <w:pStyle w:val="845"/>
        <w:pBdr/>
        <w:spacing/>
        <w:ind/>
        <w:jc w:val="center"/>
        <w:rPr>
          <w:b/>
          <w:bCs/>
          <w:sz w:val="32"/>
          <w:szCs w:val="32"/>
          <w:highlight w:val="none"/>
        </w:rPr>
      </w:pPr>
      <w:r>
        <w:rPr>
          <w:b/>
          <w:bCs/>
          <w:sz w:val="32"/>
          <w:szCs w:val="32"/>
          <w:highlight w:val="none"/>
        </w:rPr>
      </w:r>
      <w:r>
        <w:rPr>
          <w:b/>
          <w:bCs/>
          <w:sz w:val="32"/>
          <w:szCs w:val="32"/>
          <w:highlight w:val="none"/>
        </w:rPr>
      </w:r>
      <w:r>
        <w:rPr>
          <w:b/>
          <w:bCs/>
          <w:sz w:val="32"/>
          <w:szCs w:val="32"/>
          <w:highlight w:val="none"/>
        </w:rPr>
      </w:r>
    </w:p>
    <w:p w14:paraId="587E60B3">
      <w:pPr>
        <w:pStyle w:val="845"/>
        <w:pBdr/>
        <w:spacing/>
        <w:ind/>
        <w:jc w:val="center"/>
        <w:rPr>
          <w:b/>
          <w:bCs/>
          <w:sz w:val="32"/>
          <w:szCs w:val="32"/>
        </w:rPr>
      </w:pPr>
      <w:r>
        <w:rPr>
          <w:b/>
          <w:bCs/>
          <w:sz w:val="32"/>
          <w:szCs w:val="32"/>
          <w:highlight w:val="none"/>
        </w:rPr>
      </w:r>
      <w:r>
        <w:rPr>
          <w:b/>
          <w:bCs/>
          <w:sz w:val="32"/>
          <w:szCs w:val="32"/>
        </w:rPr>
      </w:r>
      <w:r>
        <w:rPr>
          <w:b/>
          <w:bCs/>
          <w:sz w:val="32"/>
          <w:szCs w:val="32"/>
        </w:rPr>
      </w:r>
    </w:p>
    <w:sdt>
      <w:sdtPr>
        <w15:appearance w15:val="boundingBox"/>
        <w:docPartObj>
          <w:docPartGallery w:val="Table of Contents"/>
          <w:docPartUnique w:val="true"/>
        </w:docPartObj>
        <w:rPr/>
      </w:sdtPr>
      <w:sdtContent>
        <w:p w14:paraId="24FCAC62">
          <w:pPr>
            <w:pStyle w:val="925"/>
            <w:pBdr/>
            <w:spacing/>
            <w:ind/>
            <w:rPr/>
          </w:pPr>
          <w:r>
            <w:t xml:space="preserve">Spis treści</w:t>
          </w:r>
          <w:r/>
        </w:p>
        <w:p w14:paraId="6E1B8E0E">
          <w:pPr>
            <w:pStyle w:val="915"/>
            <w:pBdr/>
            <w:tabs>
              <w:tab w:val="clear" w:leader="none" w:pos="708"/>
              <w:tab w:val="right" w:leader="dot" w:pos="9062"/>
            </w:tabs>
            <w:spacing/>
            <w:ind/>
            <w:rPr>
              <w:rFonts w:eastAsia="Arial" w:eastAsiaTheme="minorEastAsia"/>
              <w:szCs w:val="24"/>
              <w:lang w:eastAsia="pl-PL"/>
            </w:rPr>
          </w:pPr>
          <w:r>
            <w:fldChar w:fldCharType="begin"/>
          </w:r>
          <w:r>
            <w:instrText xml:space="preserve"> TOC \z \o "1-3" \u \h</w:instrText>
          </w:r>
          <w:r>
            <w:fldChar w:fldCharType="separate"/>
          </w:r>
          <w:r>
            <w:t xml:space="preserve">Wprowadzenie</w:t>
            <w:tab/>
            <w:t xml:space="preserve">3</w:t>
          </w:r>
          <w:r>
            <w:rPr>
              <w:rFonts w:eastAsia="Arial" w:eastAsiaTheme="minorEastAsia"/>
              <w:szCs w:val="24"/>
              <w:lang w:eastAsia="pl-PL"/>
            </w:rPr>
          </w:r>
          <w:r>
            <w:rPr>
              <w:rFonts w:eastAsia="Arial" w:eastAsiaTheme="minorEastAsia"/>
              <w:szCs w:val="24"/>
              <w:lang w:eastAsia="pl-PL"/>
            </w:rPr>
          </w:r>
        </w:p>
        <w:p w14:paraId="42F76710">
          <w:pPr>
            <w:pStyle w:val="915"/>
            <w:pBdr/>
            <w:tabs>
              <w:tab w:val="clear" w:leader="none" w:pos="708"/>
              <w:tab w:val="right" w:leader="dot" w:pos="9062"/>
            </w:tabs>
            <w:spacing/>
            <w:ind/>
            <w:rPr>
              <w:rFonts w:eastAsia="Arial" w:eastAsiaTheme="minorEastAsia"/>
              <w:szCs w:val="24"/>
              <w:lang w:eastAsia="pl-PL"/>
            </w:rPr>
          </w:pPr>
          <w:r>
            <w:t xml:space="preserve">1. Kontekst strategiczny i programowy</w:t>
            <w:tab/>
            <w:t xml:space="preserve">5</w:t>
          </w:r>
          <w:r>
            <w:rPr>
              <w:rFonts w:eastAsia="Arial" w:eastAsiaTheme="minorEastAsia"/>
              <w:szCs w:val="24"/>
              <w:lang w:eastAsia="pl-PL"/>
            </w:rPr>
          </w:r>
          <w:r>
            <w:rPr>
              <w:rFonts w:eastAsia="Arial" w:eastAsiaTheme="minorEastAsia"/>
              <w:szCs w:val="24"/>
              <w:lang w:eastAsia="pl-PL"/>
            </w:rPr>
          </w:r>
        </w:p>
        <w:p w14:paraId="603E5A99">
          <w:pPr>
            <w:pStyle w:val="915"/>
            <w:pBdr/>
            <w:tabs>
              <w:tab w:val="clear" w:leader="none" w:pos="708"/>
              <w:tab w:val="right" w:leader="dot" w:pos="9062"/>
            </w:tabs>
            <w:spacing/>
            <w:ind/>
            <w:rPr>
              <w:rFonts w:eastAsia="Arial" w:eastAsiaTheme="minorEastAsia"/>
              <w:szCs w:val="24"/>
              <w:lang w:eastAsia="pl-PL"/>
            </w:rPr>
          </w:pPr>
          <w:r>
            <w:t xml:space="preserve">2. Diagnoza obszaru rozwoju usług społecznych w świetle danych</w:t>
            <w:tab/>
            <w:t xml:space="preserve">9</w:t>
          </w:r>
          <w:r>
            <w:rPr>
              <w:rFonts w:eastAsia="Arial" w:eastAsiaTheme="minorEastAsia"/>
              <w:szCs w:val="24"/>
              <w:lang w:eastAsia="pl-PL"/>
            </w:rPr>
          </w:r>
          <w:r>
            <w:rPr>
              <w:rFonts w:eastAsia="Arial" w:eastAsiaTheme="minorEastAsia"/>
              <w:szCs w:val="24"/>
              <w:lang w:eastAsia="pl-PL"/>
            </w:rPr>
          </w:r>
        </w:p>
        <w:p w14:paraId="28971714">
          <w:pPr>
            <w:pStyle w:val="916"/>
            <w:pBdr/>
            <w:tabs>
              <w:tab w:val="clear" w:leader="none" w:pos="708"/>
              <w:tab w:val="right" w:leader="dot" w:pos="9062"/>
            </w:tabs>
            <w:spacing/>
            <w:ind/>
            <w:rPr>
              <w:rFonts w:eastAsia="Arial" w:eastAsiaTheme="minorEastAsia"/>
              <w:szCs w:val="24"/>
              <w:lang w:eastAsia="pl-PL"/>
            </w:rPr>
          </w:pPr>
          <w:r>
            <w:t xml:space="preserve">2.1. Ogólna sytuacja społeczna gminy</w:t>
            <w:tab/>
            <w:t xml:space="preserve">9</w:t>
          </w:r>
          <w:r>
            <w:rPr>
              <w:rFonts w:eastAsia="Arial" w:eastAsiaTheme="minorEastAsia"/>
              <w:szCs w:val="24"/>
              <w:lang w:eastAsia="pl-PL"/>
            </w:rPr>
          </w:r>
          <w:r>
            <w:rPr>
              <w:rFonts w:eastAsia="Arial" w:eastAsiaTheme="minorEastAsia"/>
              <w:szCs w:val="24"/>
              <w:lang w:eastAsia="pl-PL"/>
            </w:rPr>
          </w:r>
        </w:p>
        <w:p w14:paraId="314569F3">
          <w:pPr>
            <w:pStyle w:val="916"/>
            <w:pBdr/>
            <w:tabs>
              <w:tab w:val="clear" w:leader="none" w:pos="708"/>
              <w:tab w:val="right" w:leader="dot" w:pos="9062"/>
            </w:tabs>
            <w:spacing/>
            <w:ind/>
            <w:rPr>
              <w:rFonts w:eastAsia="Arial" w:eastAsiaTheme="minorEastAsia"/>
              <w:szCs w:val="24"/>
              <w:lang w:eastAsia="pl-PL"/>
            </w:rPr>
          </w:pPr>
          <w:r>
            <w:t xml:space="preserve">2.2. Usługi społeczne w kontekście wybranych grup</w:t>
            <w:tab/>
            <w:t xml:space="preserve">12</w:t>
          </w:r>
          <w:r>
            <w:rPr>
              <w:rFonts w:eastAsia="Arial" w:eastAsiaTheme="minorEastAsia"/>
              <w:szCs w:val="24"/>
              <w:lang w:eastAsia="pl-PL"/>
            </w:rPr>
          </w:r>
          <w:r>
            <w:rPr>
              <w:rFonts w:eastAsia="Arial" w:eastAsiaTheme="minorEastAsia"/>
              <w:szCs w:val="24"/>
              <w:lang w:eastAsia="pl-PL"/>
            </w:rPr>
          </w:r>
        </w:p>
        <w:p w14:paraId="36966C5E">
          <w:pPr>
            <w:pStyle w:val="917"/>
            <w:pBdr/>
            <w:tabs>
              <w:tab w:val="clear" w:leader="none" w:pos="708"/>
              <w:tab w:val="right" w:leader="dot" w:pos="9062"/>
            </w:tabs>
            <w:spacing/>
            <w:ind/>
            <w:rPr>
              <w:rFonts w:eastAsia="Arial" w:eastAsiaTheme="minorEastAsia"/>
              <w:szCs w:val="24"/>
              <w:lang w:eastAsia="pl-PL"/>
            </w:rPr>
          </w:pPr>
          <w:r>
            <w:t xml:space="preserve">2.2.1. Rodzina i dzieci</w:t>
            <w:tab/>
            <w:t xml:space="preserve">12</w:t>
          </w:r>
          <w:r>
            <w:rPr>
              <w:rFonts w:eastAsia="Arial" w:eastAsiaTheme="minorEastAsia"/>
              <w:szCs w:val="24"/>
              <w:lang w:eastAsia="pl-PL"/>
            </w:rPr>
          </w:r>
          <w:r>
            <w:rPr>
              <w:rFonts w:eastAsia="Arial" w:eastAsiaTheme="minorEastAsia"/>
              <w:szCs w:val="24"/>
              <w:lang w:eastAsia="pl-PL"/>
            </w:rPr>
          </w:r>
        </w:p>
        <w:p w14:paraId="722A87EB">
          <w:pPr>
            <w:pStyle w:val="917"/>
            <w:pBdr/>
            <w:tabs>
              <w:tab w:val="clear" w:leader="none" w:pos="708"/>
              <w:tab w:val="right" w:leader="dot" w:pos="9062"/>
            </w:tabs>
            <w:spacing/>
            <w:ind/>
            <w:rPr>
              <w:rFonts w:eastAsia="Arial" w:eastAsiaTheme="minorEastAsia"/>
              <w:szCs w:val="24"/>
              <w:lang w:eastAsia="pl-PL"/>
            </w:rPr>
          </w:pPr>
          <w:r>
            <w:t xml:space="preserve">2.2.2. Osoby starsze</w:t>
            <w:tab/>
            <w:t xml:space="preserve">14</w:t>
          </w:r>
          <w:r>
            <w:rPr>
              <w:rFonts w:eastAsia="Arial" w:eastAsiaTheme="minorEastAsia"/>
              <w:szCs w:val="24"/>
              <w:lang w:eastAsia="pl-PL"/>
            </w:rPr>
          </w:r>
          <w:r>
            <w:rPr>
              <w:rFonts w:eastAsia="Arial" w:eastAsiaTheme="minorEastAsia"/>
              <w:szCs w:val="24"/>
              <w:lang w:eastAsia="pl-PL"/>
            </w:rPr>
          </w:r>
        </w:p>
        <w:p w14:paraId="5C653B31">
          <w:pPr>
            <w:pStyle w:val="917"/>
            <w:pBdr/>
            <w:tabs>
              <w:tab w:val="clear" w:leader="none" w:pos="708"/>
              <w:tab w:val="right" w:leader="dot" w:pos="9062"/>
            </w:tabs>
            <w:spacing/>
            <w:ind/>
            <w:rPr>
              <w:rFonts w:eastAsia="Arial" w:eastAsiaTheme="minorEastAsia"/>
              <w:szCs w:val="24"/>
              <w:lang w:eastAsia="pl-PL"/>
            </w:rPr>
          </w:pPr>
          <w:r>
            <w:rPr>
              <w:rFonts w:eastAsia="Calibri"/>
            </w:rPr>
            <w:t xml:space="preserve">2.2.3. Osoby z niepełnosprawnościami</w:t>
          </w:r>
          <w:r>
            <w:tab/>
            <w:t xml:space="preserve">15</w:t>
          </w:r>
          <w:r>
            <w:rPr>
              <w:rFonts w:eastAsia="Arial" w:eastAsiaTheme="minorEastAsia"/>
              <w:szCs w:val="24"/>
              <w:lang w:eastAsia="pl-PL"/>
            </w:rPr>
          </w:r>
          <w:r>
            <w:rPr>
              <w:rFonts w:eastAsia="Arial" w:eastAsiaTheme="minorEastAsia"/>
              <w:szCs w:val="24"/>
              <w:lang w:eastAsia="pl-PL"/>
            </w:rPr>
          </w:r>
        </w:p>
        <w:p w14:paraId="1FDA8D63">
          <w:pPr>
            <w:pStyle w:val="917"/>
            <w:pBdr/>
            <w:tabs>
              <w:tab w:val="clear" w:leader="none" w:pos="708"/>
              <w:tab w:val="right" w:leader="dot" w:pos="9062"/>
            </w:tabs>
            <w:spacing/>
            <w:ind/>
            <w:rPr>
              <w:rFonts w:eastAsia="Arial" w:eastAsiaTheme="minorEastAsia"/>
              <w:szCs w:val="24"/>
              <w:lang w:eastAsia="pl-PL"/>
            </w:rPr>
          </w:pPr>
          <w:r>
            <w:t xml:space="preserve">2.2.4. Osoby z zaburzeniami psychicznymi oraz w kryzysie zdrowia psychicznego</w:t>
            <w:tab/>
            <w:t xml:space="preserve">16</w:t>
          </w:r>
          <w:r>
            <w:rPr>
              <w:rFonts w:eastAsia="Arial" w:eastAsiaTheme="minorEastAsia"/>
              <w:szCs w:val="24"/>
              <w:lang w:eastAsia="pl-PL"/>
            </w:rPr>
          </w:r>
          <w:r>
            <w:rPr>
              <w:rFonts w:eastAsia="Arial" w:eastAsiaTheme="minorEastAsia"/>
              <w:szCs w:val="24"/>
              <w:lang w:eastAsia="pl-PL"/>
            </w:rPr>
          </w:r>
        </w:p>
        <w:p w14:paraId="3796B0E8">
          <w:pPr>
            <w:pStyle w:val="917"/>
            <w:pBdr/>
            <w:tabs>
              <w:tab w:val="clear" w:leader="none" w:pos="708"/>
              <w:tab w:val="right" w:leader="dot" w:pos="9062"/>
            </w:tabs>
            <w:spacing/>
            <w:ind/>
            <w:rPr>
              <w:rFonts w:eastAsia="Arial" w:eastAsiaTheme="minorEastAsia"/>
              <w:szCs w:val="24"/>
              <w:lang w:eastAsia="pl-PL"/>
            </w:rPr>
          </w:pPr>
          <w:r>
            <w:t xml:space="preserve">2.2.5. Osoby w kryzysie bezdomności</w:t>
            <w:tab/>
            <w:t xml:space="preserve">17</w:t>
          </w:r>
          <w:r>
            <w:rPr>
              <w:rFonts w:eastAsia="Arial" w:eastAsiaTheme="minorEastAsia"/>
              <w:szCs w:val="24"/>
              <w:lang w:eastAsia="pl-PL"/>
            </w:rPr>
          </w:r>
          <w:r>
            <w:rPr>
              <w:rFonts w:eastAsia="Arial" w:eastAsiaTheme="minorEastAsia"/>
              <w:szCs w:val="24"/>
              <w:lang w:eastAsia="pl-PL"/>
            </w:rPr>
          </w:r>
        </w:p>
        <w:p w14:paraId="16185E7C">
          <w:pPr>
            <w:pStyle w:val="915"/>
            <w:pBdr/>
            <w:tabs>
              <w:tab w:val="clear" w:leader="none" w:pos="708"/>
              <w:tab w:val="right" w:leader="dot" w:pos="9062"/>
            </w:tabs>
            <w:spacing/>
            <w:ind/>
            <w:rPr>
              <w:rFonts w:eastAsia="Arial" w:eastAsiaTheme="minorEastAsia"/>
              <w:szCs w:val="24"/>
              <w:lang w:eastAsia="pl-PL"/>
            </w:rPr>
          </w:pPr>
          <w:r>
            <w:t xml:space="preserve">3. Zasoby lokalnego systemu usług społecznych</w:t>
            <w:tab/>
            <w:t xml:space="preserve">19</w:t>
          </w:r>
          <w:r>
            <w:rPr>
              <w:rFonts w:eastAsia="Arial" w:eastAsiaTheme="minorEastAsia"/>
              <w:szCs w:val="24"/>
              <w:lang w:eastAsia="pl-PL"/>
            </w:rPr>
          </w:r>
          <w:r>
            <w:rPr>
              <w:rFonts w:eastAsia="Arial" w:eastAsiaTheme="minorEastAsia"/>
              <w:szCs w:val="24"/>
              <w:lang w:eastAsia="pl-PL"/>
            </w:rPr>
          </w:r>
        </w:p>
        <w:p w14:paraId="725FF8A7">
          <w:pPr>
            <w:pStyle w:val="915"/>
            <w:pBdr/>
            <w:tabs>
              <w:tab w:val="clear" w:leader="none" w:pos="708"/>
              <w:tab w:val="right" w:leader="dot" w:pos="9062"/>
            </w:tabs>
            <w:spacing/>
            <w:ind/>
            <w:rPr>
              <w:rFonts w:eastAsia="Arial" w:eastAsiaTheme="minorEastAsia"/>
              <w:szCs w:val="24"/>
              <w:lang w:eastAsia="pl-PL"/>
            </w:rPr>
          </w:pPr>
          <w:r>
            <w:t xml:space="preserve">4. Cele i obszary interwencji</w:t>
            <w:tab/>
            <w:t xml:space="preserve">23</w:t>
          </w:r>
          <w:r>
            <w:rPr>
              <w:rFonts w:eastAsia="Arial" w:eastAsiaTheme="minorEastAsia"/>
              <w:szCs w:val="24"/>
              <w:lang w:eastAsia="pl-PL"/>
            </w:rPr>
          </w:r>
          <w:r>
            <w:rPr>
              <w:rFonts w:eastAsia="Arial" w:eastAsiaTheme="minorEastAsia"/>
              <w:szCs w:val="24"/>
              <w:lang w:eastAsia="pl-PL"/>
            </w:rPr>
          </w:r>
        </w:p>
        <w:p w14:paraId="042BA3C0">
          <w:pPr>
            <w:pStyle w:val="916"/>
            <w:pBdr/>
            <w:tabs>
              <w:tab w:val="clear" w:leader="none" w:pos="708"/>
              <w:tab w:val="right" w:leader="dot" w:pos="9062"/>
            </w:tabs>
            <w:spacing/>
            <w:ind/>
            <w:rPr>
              <w:rFonts w:eastAsia="Arial" w:eastAsiaTheme="minorEastAsia"/>
              <w:szCs w:val="24"/>
              <w:lang w:eastAsia="pl-PL"/>
            </w:rPr>
          </w:pPr>
          <w:r>
            <w:t xml:space="preserve">4.1. Rodziny z dziećmi</w:t>
            <w:tab/>
            <w:t xml:space="preserve">24</w:t>
          </w:r>
          <w:r>
            <w:rPr>
              <w:rFonts w:eastAsia="Arial" w:eastAsiaTheme="minorEastAsia"/>
              <w:szCs w:val="24"/>
              <w:lang w:eastAsia="pl-PL"/>
            </w:rPr>
          </w:r>
          <w:r>
            <w:rPr>
              <w:rFonts w:eastAsia="Arial" w:eastAsiaTheme="minorEastAsia"/>
              <w:szCs w:val="24"/>
              <w:lang w:eastAsia="pl-PL"/>
            </w:rPr>
          </w:r>
        </w:p>
        <w:p w14:paraId="16DA32C1">
          <w:pPr>
            <w:pStyle w:val="916"/>
            <w:pBdr/>
            <w:tabs>
              <w:tab w:val="clear" w:leader="none" w:pos="708"/>
              <w:tab w:val="right" w:leader="dot" w:pos="9062"/>
            </w:tabs>
            <w:spacing/>
            <w:ind/>
            <w:rPr>
              <w:rFonts w:eastAsia="Arial" w:eastAsiaTheme="minorEastAsia"/>
              <w:szCs w:val="24"/>
              <w:lang w:eastAsia="pl-PL"/>
            </w:rPr>
          </w:pPr>
          <w:r>
            <w:t xml:space="preserve">4.2. Osoby starsze</w:t>
            <w:tab/>
            <w:t xml:space="preserve">25</w:t>
          </w:r>
          <w:r>
            <w:rPr>
              <w:rFonts w:eastAsia="Arial" w:eastAsiaTheme="minorEastAsia"/>
              <w:szCs w:val="24"/>
              <w:lang w:eastAsia="pl-PL"/>
            </w:rPr>
          </w:r>
          <w:r>
            <w:rPr>
              <w:rFonts w:eastAsia="Arial" w:eastAsiaTheme="minorEastAsia"/>
              <w:szCs w:val="24"/>
              <w:lang w:eastAsia="pl-PL"/>
            </w:rPr>
          </w:r>
        </w:p>
        <w:p w14:paraId="439DE4A2">
          <w:pPr>
            <w:pStyle w:val="916"/>
            <w:pBdr/>
            <w:tabs>
              <w:tab w:val="clear" w:leader="none" w:pos="708"/>
              <w:tab w:val="right" w:leader="dot" w:pos="9062"/>
            </w:tabs>
            <w:spacing/>
            <w:ind/>
            <w:rPr>
              <w:rFonts w:eastAsia="Arial" w:eastAsiaTheme="minorEastAsia"/>
              <w:szCs w:val="24"/>
              <w:lang w:eastAsia="pl-PL"/>
            </w:rPr>
          </w:pPr>
          <w:r>
            <w:t xml:space="preserve">4.3. Osoby z niepełnosprawnościami</w:t>
            <w:tab/>
            <w:t xml:space="preserve">26</w:t>
          </w:r>
          <w:r>
            <w:rPr>
              <w:rFonts w:eastAsia="Arial" w:eastAsiaTheme="minorEastAsia"/>
              <w:szCs w:val="24"/>
              <w:lang w:eastAsia="pl-PL"/>
            </w:rPr>
          </w:r>
          <w:r>
            <w:rPr>
              <w:rFonts w:eastAsia="Arial" w:eastAsiaTheme="minorEastAsia"/>
              <w:szCs w:val="24"/>
              <w:lang w:eastAsia="pl-PL"/>
            </w:rPr>
          </w:r>
        </w:p>
        <w:p w14:paraId="45101A20">
          <w:pPr>
            <w:pStyle w:val="916"/>
            <w:pBdr/>
            <w:tabs>
              <w:tab w:val="clear" w:leader="none" w:pos="708"/>
              <w:tab w:val="right" w:leader="dot" w:pos="9062"/>
            </w:tabs>
            <w:spacing/>
            <w:ind/>
            <w:rPr>
              <w:rFonts w:eastAsia="Arial" w:eastAsiaTheme="minorEastAsia"/>
              <w:szCs w:val="24"/>
              <w:lang w:eastAsia="pl-PL"/>
            </w:rPr>
          </w:pPr>
          <w:r>
            <w:t xml:space="preserve">4.4. Osoby z zaburzeniami psychicznymi oraz w kryzysie zdrowia psychicznego</w:t>
            <w:tab/>
            <w:t xml:space="preserve">27</w:t>
          </w:r>
          <w:r>
            <w:rPr>
              <w:rFonts w:eastAsia="Arial" w:eastAsiaTheme="minorEastAsia"/>
              <w:szCs w:val="24"/>
              <w:lang w:eastAsia="pl-PL"/>
            </w:rPr>
          </w:r>
          <w:r>
            <w:rPr>
              <w:rFonts w:eastAsia="Arial" w:eastAsiaTheme="minorEastAsia"/>
              <w:szCs w:val="24"/>
              <w:lang w:eastAsia="pl-PL"/>
            </w:rPr>
          </w:r>
        </w:p>
        <w:p w14:paraId="60D091CC">
          <w:pPr>
            <w:pStyle w:val="916"/>
            <w:pBdr/>
            <w:tabs>
              <w:tab w:val="clear" w:leader="none" w:pos="708"/>
              <w:tab w:val="right" w:leader="dot" w:pos="9062"/>
            </w:tabs>
            <w:spacing/>
            <w:ind/>
            <w:rPr>
              <w:rFonts w:eastAsia="Arial" w:eastAsiaTheme="minorEastAsia"/>
              <w:szCs w:val="24"/>
              <w:lang w:eastAsia="pl-PL"/>
            </w:rPr>
          </w:pPr>
          <w:r>
            <w:t xml:space="preserve">4.5. Osoby w kryzysie bezdomności i zagrożone bezdomnością</w:t>
            <w:tab/>
            <w:t xml:space="preserve">28</w:t>
          </w:r>
          <w:r>
            <w:rPr>
              <w:rFonts w:eastAsia="Arial" w:eastAsiaTheme="minorEastAsia"/>
              <w:szCs w:val="24"/>
              <w:lang w:eastAsia="pl-PL"/>
            </w:rPr>
          </w:r>
          <w:r>
            <w:rPr>
              <w:rFonts w:eastAsia="Arial" w:eastAsiaTheme="minorEastAsia"/>
              <w:szCs w:val="24"/>
              <w:lang w:eastAsia="pl-PL"/>
            </w:rPr>
          </w:r>
        </w:p>
        <w:p w14:paraId="5E3A0CF7">
          <w:pPr>
            <w:pStyle w:val="915"/>
            <w:pBdr/>
            <w:tabs>
              <w:tab w:val="clear" w:leader="none" w:pos="708"/>
              <w:tab w:val="right" w:leader="dot" w:pos="9062"/>
            </w:tabs>
            <w:spacing/>
            <w:ind/>
            <w:rPr>
              <w:rFonts w:eastAsia="Arial" w:eastAsiaTheme="minorEastAsia"/>
              <w:szCs w:val="24"/>
              <w:lang w:eastAsia="pl-PL"/>
            </w:rPr>
          </w:pPr>
          <w:r>
            <w:t xml:space="preserve">5. Monitoring</w:t>
            <w:tab/>
            <w:t xml:space="preserve">29</w:t>
          </w:r>
          <w:r>
            <w:rPr>
              <w:rFonts w:eastAsia="Arial" w:eastAsiaTheme="minorEastAsia"/>
              <w:szCs w:val="24"/>
              <w:lang w:eastAsia="pl-PL"/>
            </w:rPr>
          </w:r>
          <w:r>
            <w:rPr>
              <w:rFonts w:eastAsia="Arial" w:eastAsiaTheme="minorEastAsia"/>
              <w:szCs w:val="24"/>
              <w:lang w:eastAsia="pl-PL"/>
            </w:rPr>
          </w:r>
        </w:p>
        <w:p w14:paraId="102BA45D">
          <w:pPr>
            <w:pStyle w:val="845"/>
            <w:pBdr/>
            <w:spacing/>
            <w:ind/>
            <w:rPr>
              <w:highlight w:val="yellow"/>
            </w:rPr>
          </w:pPr>
          <w:r>
            <w:rPr>
              <w:highlight w:val="yellow"/>
            </w:rPr>
          </w:r>
          <w:r>
            <w:rPr>
              <w:highlight w:val="yellow"/>
            </w:rPr>
            <w:fldChar w:fldCharType="end"/>
          </w:r>
          <w:r>
            <w:rPr>
              <w:highlight w:val="yellow"/>
            </w:rPr>
          </w:r>
          <w:r>
            <w:rPr>
              <w:highlight w:val="yellow"/>
            </w:rPr>
          </w:r>
        </w:p>
      </w:sdtContent>
    </w:sdt>
    <w:p w14:paraId="7802616C">
      <w:pPr>
        <w:pStyle w:val="845"/>
        <w:pBdr/>
        <w:spacing/>
        <w:ind/>
        <w:rPr>
          <w:highlight w:val="yellow"/>
        </w:rPr>
      </w:pPr>
      <w:r>
        <w:rPr>
          <w:highlight w:val="yellow"/>
        </w:rPr>
      </w:r>
      <w:r>
        <w:rPr>
          <w:highlight w:val="yellow"/>
        </w:rPr>
      </w:r>
      <w:r>
        <w:rPr>
          <w:highlight w:val="yellow"/>
        </w:rPr>
      </w:r>
    </w:p>
    <w:p w14:paraId="7FB83B2F">
      <w:pPr>
        <w:pStyle w:val="845"/>
        <w:pBdr/>
        <w:spacing/>
        <w:ind/>
        <w:rPr>
          <w:highlight w:val="yellow"/>
        </w:rPr>
      </w:pPr>
      <w:r>
        <w:rPr>
          <w:highlight w:val="yellow"/>
        </w:rPr>
      </w:r>
      <w:r>
        <w:rPr>
          <w:highlight w:val="yellow"/>
        </w:rPr>
      </w:r>
      <w:r>
        <w:rPr>
          <w:highlight w:val="yellow"/>
        </w:rPr>
      </w:r>
    </w:p>
    <w:p w14:paraId="36185263">
      <w:pPr>
        <w:pStyle w:val="845"/>
        <w:pBdr/>
        <w:spacing/>
        <w:ind/>
        <w:rPr>
          <w:highlight w:val="yellow"/>
        </w:rPr>
      </w:pPr>
      <w:r>
        <w:rPr>
          <w:highlight w:val="yellow"/>
        </w:rPr>
      </w:r>
      <w:r>
        <w:rPr>
          <w:highlight w:val="yellow"/>
        </w:rPr>
      </w:r>
      <w:r>
        <w:rPr>
          <w:highlight w:val="yellow"/>
        </w:rPr>
      </w:r>
    </w:p>
    <w:p w14:paraId="64E02A5A">
      <w:pPr>
        <w:pStyle w:val="845"/>
        <w:pBdr/>
        <w:spacing/>
        <w:ind/>
        <w:rPr>
          <w:highlight w:val="yellow"/>
        </w:rPr>
      </w:pPr>
      <w:r>
        <w:rPr>
          <w:highlight w:val="yellow"/>
        </w:rPr>
      </w:r>
      <w:r>
        <w:rPr>
          <w:highlight w:val="yellow"/>
        </w:rPr>
      </w:r>
      <w:r>
        <w:rPr>
          <w:highlight w:val="yellow"/>
        </w:rPr>
      </w:r>
    </w:p>
    <w:p w14:paraId="53472F03">
      <w:pPr>
        <w:pStyle w:val="845"/>
        <w:pBdr/>
        <w:spacing/>
        <w:ind/>
        <w:rPr>
          <w:highlight w:val="yellow"/>
        </w:rPr>
      </w:pPr>
      <w:r>
        <w:rPr>
          <w:highlight w:val="yellow"/>
        </w:rPr>
      </w:r>
      <w:r>
        <w:rPr>
          <w:highlight w:val="yellow"/>
        </w:rPr>
      </w:r>
      <w:r>
        <w:rPr>
          <w:highlight w:val="yellow"/>
        </w:rPr>
      </w:r>
    </w:p>
    <w:p w14:paraId="06A0C562">
      <w:pPr>
        <w:pStyle w:val="845"/>
        <w:pBdr/>
        <w:spacing/>
        <w:ind/>
        <w:rPr>
          <w:highlight w:val="yellow"/>
        </w:rPr>
      </w:pPr>
      <w:r>
        <w:rPr>
          <w:highlight w:val="yellow"/>
        </w:rPr>
      </w:r>
      <w:r>
        <w:br w:type="page" w:clear="all"/>
      </w:r>
      <w:r>
        <w:rPr>
          <w:highlight w:val="yellow"/>
        </w:rPr>
      </w:r>
      <w:r>
        <w:rPr>
          <w:highlight w:val="yellow"/>
        </w:rPr>
      </w:r>
    </w:p>
    <w:p w14:paraId="68ED517A">
      <w:pPr>
        <w:pStyle w:val="846"/>
        <w:pBdr/>
        <w:spacing w:after="240" w:before="0"/>
        <w:ind/>
        <w:rPr/>
      </w:pPr>
      <w:r>
        <w:t xml:space="preserve">‘</w:t>
      </w:r>
      <w:r/>
    </w:p>
    <w:p w14:paraId="099126D9">
      <w:pPr>
        <w:pStyle w:val="846"/>
        <w:pBdr/>
        <w:spacing w:after="240" w:before="0"/>
        <w:ind/>
        <w:rPr/>
      </w:pPr>
      <w:r/>
      <w:bookmarkStart w:id="0" w:name="_Toc226230118"/>
      <w:r>
        <w:t xml:space="preserve">Wprowadzenie</w:t>
      </w:r>
      <w:bookmarkEnd w:id="0"/>
      <w:r/>
      <w:r/>
    </w:p>
    <w:p w14:paraId="6B4F4A0A">
      <w:pPr>
        <w:pStyle w:val="845"/>
        <w:pBdr/>
        <w:spacing w:after="60" w:before="0" w:line="276" w:lineRule="auto"/>
        <w:ind/>
        <w:jc w:val="both"/>
        <w:rPr/>
      </w:pPr>
      <w:r/>
      <w:bookmarkStart w:id="1" w:name="_Hlk142992491"/>
      <w:r>
        <w:t xml:space="preserve">Rozwój usług społecznych oraz deinstytucjonalizacja to aktualnie główne kierunki rozwoju polityki społecznej państwa. Same usługi nie są niczym nowym, jednak dopiero w </w:t>
      </w:r>
      <w:r>
        <w:rPr>
          <w:i/>
          <w:iCs/>
        </w:rPr>
        <w:t xml:space="preserve">Ustawie </w:t>
      </w:r>
      <w:r>
        <w:rPr>
          <w:i/>
          <w:iCs/>
        </w:rPr>
        <w:br/>
      </w:r>
      <w:r>
        <w:rPr>
          <w:i/>
          <w:iCs/>
        </w:rPr>
        <w:t xml:space="preserve">z dnia 19 lipca 2019 r. o realizowaniu usług społecznych przez centrum usług społecznych </w:t>
      </w:r>
      <w:r>
        <w:t xml:space="preserve">podjęto wyzwanie </w:t>
      </w:r>
      <w:r>
        <w:rPr>
          <w:bCs/>
        </w:rPr>
        <w:t xml:space="preserve">określenia ich jednej, wyczerpującej definicji. </w:t>
      </w:r>
      <w:r>
        <w:t xml:space="preserve">W świetle art. 2 wskazanej ustawy usługi społeczne oznaczają działania </w:t>
      </w:r>
      <w:r>
        <w:t xml:space="preserve">podejmowane przez gminę w celu zaspokajania potrzeb wspólnoty samorządowej, świadczone w formie niematerialnej bezpośrednio na rzecz osób, rodzin, grup społecznych, grup mieszkańców o określonych potrzebach lub ogółu mieszkańców, w następujących zakresach:</w:t>
      </w:r>
      <w:r/>
    </w:p>
    <w:p w14:paraId="60D42DC6">
      <w:pPr>
        <w:pStyle w:val="930"/>
        <w:numPr>
          <w:ilvl w:val="0"/>
          <w:numId w:val="4"/>
        </w:numPr>
        <w:pBdr/>
        <w:spacing w:after="0" w:before="0" w:line="276" w:lineRule="auto"/>
        <w:ind/>
        <w:contextualSpacing w:val="false"/>
        <w:rPr/>
      </w:pPr>
      <w:r>
        <w:t xml:space="preserve">polityki prorodzinnej,</w:t>
      </w:r>
      <w:r/>
    </w:p>
    <w:p w14:paraId="4B0FFF81">
      <w:pPr>
        <w:pStyle w:val="930"/>
        <w:numPr>
          <w:ilvl w:val="0"/>
          <w:numId w:val="4"/>
        </w:numPr>
        <w:pBdr/>
        <w:spacing w:after="0" w:before="0" w:line="276" w:lineRule="auto"/>
        <w:ind/>
        <w:contextualSpacing w:val="false"/>
        <w:rPr/>
      </w:pPr>
      <w:r>
        <w:t xml:space="preserve">wspierania rodziny,</w:t>
      </w:r>
      <w:r/>
    </w:p>
    <w:p w14:paraId="71A67CB4">
      <w:pPr>
        <w:pStyle w:val="930"/>
        <w:numPr>
          <w:ilvl w:val="0"/>
          <w:numId w:val="4"/>
        </w:numPr>
        <w:pBdr/>
        <w:spacing w:after="0" w:before="0" w:line="276" w:lineRule="auto"/>
        <w:ind/>
        <w:contextualSpacing w:val="false"/>
        <w:rPr/>
      </w:pPr>
      <w:r>
        <w:t xml:space="preserve">systemu pieczy zastępczej,</w:t>
      </w:r>
      <w:r/>
    </w:p>
    <w:p w14:paraId="2BECA822">
      <w:pPr>
        <w:pStyle w:val="930"/>
        <w:numPr>
          <w:ilvl w:val="0"/>
          <w:numId w:val="4"/>
        </w:numPr>
        <w:pBdr/>
        <w:spacing w:after="0" w:before="0" w:line="276" w:lineRule="auto"/>
        <w:ind/>
        <w:contextualSpacing w:val="false"/>
        <w:rPr/>
      </w:pPr>
      <w:r>
        <w:t xml:space="preserve">pomocy społecznej, </w:t>
      </w:r>
      <w:r/>
    </w:p>
    <w:p w14:paraId="13B48F93">
      <w:pPr>
        <w:pStyle w:val="930"/>
        <w:numPr>
          <w:ilvl w:val="0"/>
          <w:numId w:val="4"/>
        </w:numPr>
        <w:pBdr/>
        <w:spacing w:after="0" w:before="0" w:line="276" w:lineRule="auto"/>
        <w:ind/>
        <w:contextualSpacing w:val="false"/>
        <w:rPr/>
      </w:pPr>
      <w:r>
        <w:t xml:space="preserve">promocji i ochrony zdrowia, </w:t>
      </w:r>
      <w:r/>
    </w:p>
    <w:p w14:paraId="13814457">
      <w:pPr>
        <w:pStyle w:val="930"/>
        <w:numPr>
          <w:ilvl w:val="0"/>
          <w:numId w:val="4"/>
        </w:numPr>
        <w:pBdr/>
        <w:spacing w:after="0" w:before="0" w:line="276" w:lineRule="auto"/>
        <w:ind/>
        <w:contextualSpacing w:val="false"/>
        <w:rPr/>
      </w:pPr>
      <w:r>
        <w:t xml:space="preserve">wspierania osób niepełnosprawnych, </w:t>
      </w:r>
      <w:r/>
    </w:p>
    <w:p w14:paraId="13039426">
      <w:pPr>
        <w:pStyle w:val="930"/>
        <w:numPr>
          <w:ilvl w:val="0"/>
          <w:numId w:val="4"/>
        </w:numPr>
        <w:pBdr/>
        <w:spacing w:after="0" w:before="0" w:line="276" w:lineRule="auto"/>
        <w:ind/>
        <w:contextualSpacing w:val="false"/>
        <w:rPr/>
      </w:pPr>
      <w:r>
        <w:t xml:space="preserve">edukacji publicznej,</w:t>
      </w:r>
      <w:r/>
    </w:p>
    <w:p w14:paraId="4B114F97">
      <w:pPr>
        <w:pStyle w:val="930"/>
        <w:numPr>
          <w:ilvl w:val="0"/>
          <w:numId w:val="4"/>
        </w:numPr>
        <w:pBdr/>
        <w:spacing w:after="0" w:before="0" w:line="276" w:lineRule="auto"/>
        <w:ind/>
        <w:contextualSpacing w:val="false"/>
        <w:rPr/>
      </w:pPr>
      <w:r>
        <w:t xml:space="preserve">przeciwdziałania bezrobociu,</w:t>
      </w:r>
      <w:r/>
    </w:p>
    <w:p w14:paraId="1521349A">
      <w:pPr>
        <w:pStyle w:val="930"/>
        <w:numPr>
          <w:ilvl w:val="0"/>
          <w:numId w:val="4"/>
        </w:numPr>
        <w:pBdr/>
        <w:spacing w:after="0" w:before="0" w:line="276" w:lineRule="auto"/>
        <w:ind/>
        <w:contextualSpacing w:val="false"/>
        <w:rPr/>
      </w:pPr>
      <w:r>
        <w:t xml:space="preserve">kultury,</w:t>
      </w:r>
      <w:r/>
    </w:p>
    <w:p w14:paraId="5239EA18">
      <w:pPr>
        <w:pStyle w:val="930"/>
        <w:numPr>
          <w:ilvl w:val="0"/>
          <w:numId w:val="4"/>
        </w:numPr>
        <w:pBdr/>
        <w:spacing w:after="0" w:before="0" w:line="276" w:lineRule="auto"/>
        <w:ind/>
        <w:contextualSpacing w:val="false"/>
        <w:rPr/>
      </w:pPr>
      <w:r>
        <w:t xml:space="preserve">kultury fizycznej i turystyki,</w:t>
      </w:r>
      <w:r/>
    </w:p>
    <w:p w14:paraId="270B7BC0">
      <w:pPr>
        <w:pStyle w:val="930"/>
        <w:numPr>
          <w:ilvl w:val="0"/>
          <w:numId w:val="4"/>
        </w:numPr>
        <w:pBdr/>
        <w:spacing w:after="0" w:before="0" w:line="276" w:lineRule="auto"/>
        <w:ind/>
        <w:contextualSpacing w:val="false"/>
        <w:rPr/>
      </w:pPr>
      <w:r>
        <w:t xml:space="preserve">pobudzania aktywności obywatelskiej,</w:t>
      </w:r>
      <w:r/>
    </w:p>
    <w:p w14:paraId="045B66E2">
      <w:pPr>
        <w:pStyle w:val="930"/>
        <w:numPr>
          <w:ilvl w:val="0"/>
          <w:numId w:val="4"/>
        </w:numPr>
        <w:pBdr/>
        <w:spacing w:after="0" w:before="0" w:line="276" w:lineRule="auto"/>
        <w:ind/>
        <w:contextualSpacing w:val="false"/>
        <w:rPr/>
      </w:pPr>
      <w:r>
        <w:t xml:space="preserve">mieszkalnictwa, </w:t>
      </w:r>
      <w:r/>
    </w:p>
    <w:p w14:paraId="4C6581DE">
      <w:pPr>
        <w:pStyle w:val="930"/>
        <w:numPr>
          <w:ilvl w:val="0"/>
          <w:numId w:val="4"/>
        </w:numPr>
        <w:pBdr/>
        <w:spacing w:after="0" w:before="0" w:line="276" w:lineRule="auto"/>
        <w:ind/>
        <w:contextualSpacing w:val="false"/>
        <w:rPr/>
      </w:pPr>
      <w:r>
        <w:t xml:space="preserve">ochrony środowiska, </w:t>
      </w:r>
      <w:r/>
    </w:p>
    <w:p w14:paraId="3A4AF7E4">
      <w:pPr>
        <w:pStyle w:val="930"/>
        <w:numPr>
          <w:ilvl w:val="0"/>
          <w:numId w:val="4"/>
        </w:numPr>
        <w:pBdr/>
        <w:spacing w:after="120" w:before="0" w:line="276" w:lineRule="auto"/>
        <w:ind w:hanging="357" w:left="714"/>
        <w:contextualSpacing w:val="false"/>
        <w:rPr/>
      </w:pPr>
      <w:r>
        <w:t xml:space="preserve">reintegracji zawodowej i społecznej.</w:t>
      </w:r>
      <w:r/>
    </w:p>
    <w:p w14:paraId="3F802A93">
      <w:pPr>
        <w:pStyle w:val="845"/>
        <w:pBdr/>
        <w:spacing w:after="60" w:before="0" w:line="276" w:lineRule="auto"/>
        <w:ind/>
        <w:jc w:val="both"/>
        <w:rPr>
          <w:bCs/>
        </w:rPr>
      </w:pPr>
      <w:r>
        <w:rPr>
          <w:bCs/>
        </w:rPr>
        <w:t xml:space="preserve">Nowością może być natomiast dążeni</w:t>
      </w:r>
      <w:r>
        <w:rPr>
          <w:bCs/>
        </w:rPr>
        <w:t xml:space="preserve">e do tworzenia lokalnych systemów usług społecznych, opartych na kooperacji samorządu i podmiotów ekonomii społecznej oraz służących optymalizacji usług społecznych pod kątem potrzeb mieszkańców. Istotnym procesem jest obecnie także deinstytucjonalizacja. </w:t>
      </w:r>
      <w:r>
        <w:t xml:space="preserve">Proces ten został  </w:t>
      </w:r>
      <w:r>
        <w:rPr>
          <w:bCs/>
          <w:lang w:bidi="pl-PL"/>
        </w:rPr>
        <w:t xml:space="preserve">zdefiniowany w dokumencie pn. </w:t>
      </w:r>
      <w:r>
        <w:rPr>
          <w:bCs/>
          <w:i/>
          <w:iCs/>
          <w:lang w:bidi="pl-PL"/>
        </w:rPr>
        <w:t xml:space="preserve">Strategia Rozwoju Usług Społecznych, polityka publiczna do roku 2030 (z perspektywą do 2035 r</w:t>
      </w:r>
      <w:r>
        <w:rPr>
          <w:bCs/>
          <w:lang w:bidi="pl-PL"/>
        </w:rPr>
        <w:t xml:space="preserve">.), przyjętym w dniu 15 czerwca 2022 roku przez Radę Ministrów. W jego świetle deinstytucjonalizacja polega na „rozwoju usług społecznych świadczonych w społeczności lokalnej oraz na wypracowaniu i wdrożeniu rozwiązań, które umożliwią </w:t>
      </w:r>
      <w:r>
        <w:rPr>
          <w:bCs/>
          <w:i/>
          <w:iCs/>
          <w:lang w:bidi="pl-PL"/>
        </w:rPr>
        <w:t xml:space="preserve">niezależne życie</w:t>
      </w:r>
      <w:r>
        <w:rPr>
          <w:bCs/>
          <w:lang w:bidi="pl-PL"/>
        </w:rPr>
        <w:t xml:space="preserve"> osobom z niepełnosprawnościami, osobom starszym, osobom w kryzysie psychicznym i innym osobom potrzebującym wsparcia w codziennym funkcjonowaniu, a dzieciom życie pod opieką rodzinną lub pod opieką zbliżoną do rodzinnej”</w:t>
      </w:r>
      <w:r>
        <w:rPr>
          <w:rStyle w:val="877"/>
          <w:bCs/>
          <w:vertAlign w:val="superscript"/>
          <w:lang w:bidi="pl-PL"/>
        </w:rPr>
        <w:footnoteReference w:id="2"/>
      </w:r>
      <w:r>
        <w:rPr>
          <w:bCs/>
          <w:lang w:bidi="pl-PL"/>
        </w:rPr>
        <w:t xml:space="preserve">. </w:t>
      </w:r>
      <w:r>
        <w:rPr>
          <w:bCs/>
        </w:rPr>
      </w:r>
      <w:r>
        <w:rPr>
          <w:bCs/>
        </w:rPr>
      </w:r>
    </w:p>
    <w:p w14:paraId="6642DEE1">
      <w:pPr>
        <w:pStyle w:val="845"/>
        <w:pBdr/>
        <w:spacing w:line="276" w:lineRule="auto"/>
        <w:ind/>
        <w:jc w:val="both"/>
        <w:rPr>
          <w:lang w:bidi="pl-PL"/>
        </w:rPr>
      </w:pPr>
      <w:r>
        <w:rPr>
          <w:bCs/>
          <w:lang w:bidi="pl-PL"/>
        </w:rPr>
        <w:t xml:space="preserve">Warto tu wskazać, że </w:t>
      </w:r>
      <w:r>
        <w:rPr>
          <w:bCs/>
          <w:i/>
          <w:iCs/>
          <w:lang w:bidi="pl-PL"/>
        </w:rPr>
        <w:t xml:space="preserve">niezależne życie </w:t>
      </w:r>
      <w:r>
        <w:rPr>
          <w:bCs/>
          <w:lang w:bidi="pl-PL"/>
        </w:rPr>
        <w:t xml:space="preserve">rozumiane jest nie jako samowystarczalność czy zdolność do samodzielnego wykonywania czynności, ale jako możliwość dokonywania niezależnych wyborów i decyzj</w:t>
      </w:r>
      <w:r>
        <w:rPr>
          <w:bCs/>
          <w:lang w:bidi="pl-PL"/>
        </w:rPr>
        <w:t xml:space="preserve">i odnośnie miejsca zamieszkania czy sposobu organizacji codziennego życia. Natomiast mówiąc o deinstytucjonalizacji, mamy na myśli przechodzenie od opieki o charakterze instytucjonalnym do opieki świadczonej w środowisku rodzinnym i społeczności lokalnej.</w:t>
      </w:r>
      <w:r>
        <w:rPr>
          <w:bCs/>
          <w:szCs w:val="24"/>
          <w:lang w:bidi="pl-PL"/>
        </w:rPr>
        <w:t xml:space="preserve"> </w:t>
      </w:r>
      <w:r>
        <w:rPr>
          <w:bCs/>
          <w:lang w:bidi="pl-PL"/>
        </w:rPr>
        <w:t xml:space="preserve">Wdrażanie jej założeń będzie wiązało się z przyznaniem priorytetu usługom społecznym realizowanym w społeczności lokalnej przed usługami o charakterze </w:t>
      </w:r>
      <w:r>
        <w:rPr>
          <w:bCs/>
          <w:lang w:bidi="pl-PL"/>
        </w:rPr>
      </w:r>
      <w:r>
        <w:rPr>
          <w:lang w:bidi="pl-PL"/>
        </w:rPr>
      </w:r>
    </w:p>
    <w:p w14:paraId="786BA776">
      <w:pPr>
        <w:pStyle w:val="845"/>
        <w:pBdr/>
        <w:spacing w:line="276" w:lineRule="auto"/>
        <w:ind/>
        <w:jc w:val="both"/>
        <w:rPr>
          <w:lang w:bidi="pl-PL"/>
        </w:rPr>
      </w:pPr>
      <w:r>
        <w:rPr>
          <w:bCs/>
          <w:highlight w:val="none"/>
          <w:lang w:bidi="pl-PL"/>
        </w:rPr>
      </w:r>
      <w:r>
        <w:rPr>
          <w:bCs/>
          <w:highlight w:val="none"/>
          <w:lang w:bidi="pl-PL"/>
        </w:rPr>
      </w:r>
      <w:r>
        <w:rPr>
          <w:lang w:bidi="pl-PL"/>
        </w:rPr>
      </w:r>
    </w:p>
    <w:p w14:paraId="317F1F05">
      <w:pPr>
        <w:pStyle w:val="845"/>
        <w:pBdr/>
        <w:spacing w:line="276" w:lineRule="auto"/>
        <w:ind/>
        <w:jc w:val="both"/>
        <w:rPr>
          <w:highlight w:val="none"/>
          <w:lang w:bidi="pl-PL"/>
        </w:rPr>
      </w:pPr>
      <w:r>
        <w:rPr>
          <w:bCs/>
          <w:highlight w:val="none"/>
          <w:lang w:bidi="pl-PL"/>
        </w:rPr>
      </w:r>
      <w:r>
        <w:rPr>
          <w:bCs/>
          <w:highlight w:val="none"/>
          <w:lang w:bidi="pl-PL"/>
        </w:rPr>
      </w:r>
      <w:r>
        <w:rPr>
          <w:highlight w:val="none"/>
          <w:lang w:bidi="pl-PL"/>
        </w:rPr>
      </w:r>
    </w:p>
    <w:p w14:paraId="71442A68">
      <w:pPr>
        <w:pStyle w:val="845"/>
        <w:pBdr/>
        <w:spacing w:line="276" w:lineRule="auto"/>
        <w:ind/>
        <w:jc w:val="both"/>
        <w:rPr>
          <w:highlight w:val="none"/>
          <w:lang w:bidi="pl-PL"/>
        </w:rPr>
      </w:pPr>
      <w:r>
        <w:rPr>
          <w:bCs/>
          <w:highlight w:val="none"/>
          <w:lang w:bidi="pl-PL"/>
        </w:rPr>
      </w:r>
      <w:r>
        <w:rPr>
          <w:bCs/>
          <w:highlight w:val="none"/>
          <w:lang w:bidi="pl-PL"/>
        </w:rPr>
      </w:r>
      <w:r>
        <w:rPr>
          <w:highlight w:val="none"/>
          <w:lang w:bidi="pl-PL"/>
        </w:rPr>
      </w:r>
    </w:p>
    <w:p w14:paraId="4AFF2549">
      <w:pPr>
        <w:pStyle w:val="845"/>
        <w:pBdr/>
        <w:spacing w:line="276" w:lineRule="auto"/>
        <w:ind/>
        <w:jc w:val="both"/>
        <w:rPr>
          <w:highlight w:val="none"/>
          <w:lang w:bidi="pl-PL"/>
        </w:rPr>
      </w:pPr>
      <w:r>
        <w:rPr>
          <w:bCs/>
          <w:lang w:bidi="pl-PL"/>
        </w:rPr>
        <w:t xml:space="preserve">stacjonarnym, rozwojem usług zindywidualizowanych, w</w:t>
      </w:r>
      <w:r>
        <w:rPr>
          <w:bCs/>
          <w:lang w:bidi="pl-PL"/>
        </w:rPr>
        <w:t xml:space="preserve"> tym profilaktycznych, wpływających na zmniejszenie konieczności obejmowania osób opieką instytucjonalną, rozwojem różnych form mieszkalnictwa, a także wykorzystaniem potencjału instytucjonalnej opieki długoterminowej na poczet nowych usług środowiskowych.</w:t>
      </w:r>
      <w:r>
        <w:rPr>
          <w:bCs/>
          <w:lang w:bidi="pl-PL"/>
        </w:rPr>
      </w:r>
      <w:r>
        <w:rPr>
          <w:highlight w:val="none"/>
          <w:lang w:bidi="pl-PL"/>
        </w:rPr>
      </w:r>
    </w:p>
    <w:p w14:paraId="51C395A4">
      <w:pPr>
        <w:pStyle w:val="845"/>
        <w:pBdr/>
        <w:spacing w:line="276" w:lineRule="auto"/>
        <w:ind/>
        <w:jc w:val="both"/>
        <w:rPr>
          <w:bCs/>
        </w:rPr>
      </w:pPr>
      <w:r>
        <w:rPr>
          <w:bCs/>
        </w:rPr>
        <w:t xml:space="preserve">Na poziomie </w:t>
      </w:r>
      <w:r>
        <w:rPr>
          <w:bCs/>
        </w:rPr>
        <w:t xml:space="preserve">gmin i powiatów deinstytucjonalizacja wiąże się m.in. z koniecznością budowy skutecznego systemu świadczenia usług społecznych dla osób potrzebujących wsparcia w codziennym funkcjonowaniu. Powszechny dostęp do usług świadczonych w środowisku zamieszkania b</w:t>
      </w:r>
      <w:r>
        <w:rPr>
          <w:bCs/>
        </w:rPr>
        <w:t xml:space="preserve">ędzie w dłuższej perspektywie ograniczał popyt na usługi placówek całodobowych. Niezbędna do tego jest jednak diagnoza potrzeb w obszarze usług społecznych oraz zaplanowanie procesu deinstytucjonalizacji w oparciu o płynące z niej wnioski. Znajduje to wyra</w:t>
      </w:r>
      <w:r>
        <w:rPr>
          <w:bCs/>
        </w:rPr>
        <w:t xml:space="preserve">z w lokalnych planach deinstytucjonalizacji usług społecznych, które samorządy powinny opracować, a których celem jest wyznaczenie kierunków rozwoju usług społecznych na poziomie lokalnym, zarówno w obszarze interwencji, jak i prewencji oraz profilaktyki. </w:t>
      </w:r>
      <w:bookmarkEnd w:id="1"/>
      <w:r>
        <w:rPr>
          <w:bCs/>
        </w:rPr>
      </w:r>
      <w:r>
        <w:rPr>
          <w:bCs/>
        </w:rPr>
      </w:r>
    </w:p>
    <w:p w14:paraId="6AFEF7BA">
      <w:pPr>
        <w:pStyle w:val="845"/>
        <w:pBdr/>
        <w:spacing w:line="276" w:lineRule="auto"/>
        <w:ind/>
        <w:jc w:val="both"/>
        <w:rPr>
          <w:b/>
          <w:bCs/>
          <w:i/>
          <w:iCs/>
          <w:lang w:bidi="pl-PL"/>
        </w:rPr>
      </w:pPr>
      <w:r>
        <w:rPr>
          <w:bCs/>
          <w:i/>
          <w:iCs/>
          <w:lang w:bidi="pl-PL"/>
        </w:rPr>
        <w:t xml:space="preserve">Lokalny Plan Deinstytucjonalizacji Usług Społecznych w Gminie Braniewo na lata 2026-2030 </w:t>
      </w:r>
      <w:r>
        <w:rPr>
          <w:bCs/>
          <w:lang w:bidi="pl-PL"/>
        </w:rPr>
        <w:t xml:space="preserve">p</w:t>
      </w:r>
      <w:r>
        <w:t xml:space="preserve">owstał w odpowiedzi na współc</w:t>
      </w:r>
      <w:r>
        <w:t xml:space="preserve">zesne wyzwania w obszarze polityki społecznej, takie jak starzenie się społeczeństwa i inne zmiany demograficzne, wzrost liczby osób wymagających wsparcia w codziennym funkcjonowaniu i osób z niepełnosprawnościami, a także przeobrażenia w obrębie rodziny. </w:t>
      </w:r>
      <w:r>
        <w:rPr>
          <w:bCs/>
          <w:lang w:bidi="pl-PL"/>
        </w:rPr>
        <w:t xml:space="preserve">Dokument ten składa się z dwóch zasadniczych części, </w:t>
        <w:br/>
        <w:t xml:space="preserve">tj. diagnostycznej i wdrożeniowej. Pierwsza ze wskazanych zawiera główne dane i informacje dotyczące sfery polityki społecznej w gminie oraz realizowanych usług społecznych. Jej opracowanie </w:t>
      </w:r>
      <w:r>
        <w:rPr>
          <w:bCs/>
          <w:lang w:bidi="pl-PL"/>
        </w:rPr>
        <w:t xml:space="preserve">opierało się na analizie danych pochodzących ze sprawozdań i ogólnodostępnych baz. Część wdrożeniowa dokumentu prezentuje obszary interwencji oraz przypisane im cele oraz kluczowe działania, a także źródła ich finansowania oraz założenia wdrożeniowe Planu.</w:t>
      </w:r>
      <w:r>
        <w:rPr>
          <w:b/>
          <w:bCs/>
          <w:i/>
          <w:iCs/>
          <w:lang w:bidi="pl-PL"/>
        </w:rPr>
      </w:r>
      <w:r>
        <w:rPr>
          <w:b/>
          <w:bCs/>
          <w:i/>
          <w:iCs/>
          <w:lang w:bidi="pl-PL"/>
        </w:rPr>
      </w:r>
    </w:p>
    <w:p w14:paraId="2418343E">
      <w:pPr>
        <w:pStyle w:val="845"/>
        <w:pBdr/>
        <w:spacing w:line="276" w:lineRule="auto"/>
        <w:ind/>
        <w:jc w:val="both"/>
        <w:rPr>
          <w:bCs/>
          <w:i/>
          <w:iCs/>
          <w:lang w:bidi="pl-PL"/>
        </w:rPr>
      </w:pPr>
      <w:r>
        <w:rPr>
          <w:bCs/>
          <w:lang w:bidi="pl-PL"/>
        </w:rPr>
        <w:t xml:space="preserve">Dokument został opracowany w oparciu o </w:t>
      </w:r>
      <w:r>
        <w:rPr>
          <w:bCs/>
          <w:i/>
          <w:iCs/>
          <w:lang w:bidi="pl-PL"/>
        </w:rPr>
        <w:t xml:space="preserve">Ogólnopolskie wytyczne tworzenia lokalnych planów deinstytucjonalizacji usług społecznych </w:t>
      </w:r>
      <w:r>
        <w:rPr>
          <w:bCs/>
          <w:lang w:bidi="pl-PL"/>
        </w:rPr>
        <w:t xml:space="preserve">przygotowane w ramach projektu „Opracowanie i pilotażowe wdrożenie mechanizmów i planów deinstytucjonali</w:t>
      </w:r>
      <w:r>
        <w:rPr>
          <w:bCs/>
          <w:lang w:bidi="pl-PL"/>
        </w:rPr>
        <w:t xml:space="preserve">zacji usług społecznych” realizowanego ramach Programu Operacyjnego Wiedza Edukacja Rozwój 2014–2020, Osi Priorytetowej II Efektywne polityki publiczne dla rynku pracy, gospodarki i edukacji, Działanie 2.8 Rozwój usług społecznych świadczonych w lokalnej s</w:t>
      </w:r>
      <w:r>
        <w:rPr>
          <w:bCs/>
          <w:lang w:bidi="pl-PL"/>
        </w:rPr>
        <w:t xml:space="preserve">połeczności, współfinansowanego z Europejskiego Funduszu Społecznego. Projekt realizowany był przez  Ministerstwo Rodziny, Pracy i Polityki Społecznej w partnerstwie z Fundacją Flexi Mind </w:t>
        <w:br/>
        <w:t xml:space="preserve">z Dębskiej Kuźni i Instytutem Pracy i Spraw Socjalnych w Warszawie.</w:t>
      </w:r>
      <w:r>
        <w:rPr>
          <w:bCs/>
          <w:i/>
          <w:iCs/>
          <w:lang w:bidi="pl-PL"/>
        </w:rPr>
      </w:r>
      <w:r>
        <w:rPr>
          <w:bCs/>
          <w:i/>
          <w:iCs/>
          <w:lang w:bidi="pl-PL"/>
        </w:rPr>
      </w:r>
    </w:p>
    <w:p w14:paraId="6D85B946">
      <w:pPr>
        <w:pStyle w:val="846"/>
        <w:pBdr/>
        <w:spacing/>
        <w:ind/>
        <w:rPr>
          <w:bCs/>
          <w:lang w:bidi="pl-PL"/>
        </w:rPr>
      </w:pPr>
      <w:r/>
      <w:bookmarkStart w:id="2" w:name="_Toc226230119"/>
      <w:r>
        <w:t xml:space="preserve">1. Kontekst strategiczny i programowy</w:t>
      </w:r>
      <w:bookmarkEnd w:id="2"/>
      <w:r>
        <w:rPr>
          <w:bCs/>
          <w:lang w:bidi="pl-PL"/>
        </w:rPr>
      </w:r>
      <w:r>
        <w:rPr>
          <w:bCs/>
          <w:lang w:bidi="pl-PL"/>
        </w:rPr>
      </w:r>
    </w:p>
    <w:p w14:paraId="32612BF7">
      <w:pPr>
        <w:pStyle w:val="845"/>
        <w:pBdr/>
        <w:spacing w:after="60" w:before="0" w:line="276" w:lineRule="auto"/>
        <w:ind/>
        <w:jc w:val="both"/>
        <w:rPr>
          <w:highlight w:val="none"/>
          <w:lang w:bidi="pl-PL"/>
        </w:rPr>
      </w:pPr>
      <w:r>
        <w:t xml:space="preserve">Znaczenie rozwoju usług społecznych oraz procesu deinstytucjonalizacji podkreśla wspomniana już we wstępie niniejszego dokumentu </w:t>
      </w:r>
      <w:r>
        <w:rPr>
          <w:bCs/>
          <w:i/>
          <w:iCs/>
          <w:lang w:bidi="pl-PL"/>
        </w:rPr>
        <w:t xml:space="preserve">Strategia Rozwoju Usług Społecznych, polityka publiczna do roku 2030 (z perspektywą do 2035 r</w:t>
      </w:r>
      <w:r>
        <w:rPr>
          <w:bCs/>
          <w:lang w:bidi="pl-PL"/>
        </w:rPr>
        <w:t xml:space="preserve">.). Wskazuje o</w:t>
      </w:r>
      <w:r>
        <w:rPr>
          <w:bCs/>
          <w:lang w:bidi="pl-PL"/>
        </w:rPr>
        <w:t xml:space="preserve">na przy tym, że usługi społeczne są generalnie dedykowane wszystkim, jednak szczególny nacisk trzeba położyć na kierowanie ich do osób, które mogą być narażone na jakiekolwiek przejawy wykluczenia społecznego czy dyskryminacji. Dotyczy to przede wszystkim:</w:t>
      </w:r>
      <w:r>
        <w:rPr>
          <w:bCs/>
          <w:lang w:bidi="pl-PL"/>
        </w:rPr>
      </w:r>
      <w:r>
        <w:rPr>
          <w:highlight w:val="none"/>
          <w:lang w:bidi="pl-PL"/>
        </w:rPr>
      </w:r>
    </w:p>
    <w:p w14:paraId="2F89884D">
      <w:pPr>
        <w:pStyle w:val="845"/>
        <w:pBdr/>
        <w:spacing w:after="60" w:before="0" w:line="276" w:lineRule="auto"/>
        <w:ind/>
        <w:jc w:val="both"/>
        <w:rPr>
          <w:lang w:bidi="pl-PL"/>
        </w:rPr>
      </w:pPr>
      <w:r>
        <w:rPr>
          <w:lang w:bidi="pl-PL"/>
        </w:rPr>
      </w:r>
      <w:r>
        <w:rPr>
          <w:lang w:bidi="pl-PL"/>
        </w:rPr>
      </w:r>
      <w:r>
        <w:rPr>
          <w:lang w:bidi="pl-PL"/>
        </w:rPr>
      </w:r>
    </w:p>
    <w:p w14:paraId="07215CA1">
      <w:pPr>
        <w:pStyle w:val="845"/>
        <w:pBdr/>
        <w:spacing w:after="60" w:before="0" w:line="276" w:lineRule="auto"/>
        <w:ind/>
        <w:jc w:val="both"/>
        <w:rPr>
          <w:lang w:bidi="pl-PL"/>
        </w:rPr>
      </w:pPr>
      <w:r>
        <w:rPr>
          <w:lang w:bidi="pl-PL"/>
        </w:rPr>
      </w:r>
      <w:r>
        <w:rPr>
          <w:lang w:bidi="pl-PL"/>
        </w:rPr>
      </w:r>
      <w:r>
        <w:rPr>
          <w:lang w:bidi="pl-PL"/>
        </w:rPr>
      </w:r>
    </w:p>
    <w:p w14:paraId="4F42D4CF">
      <w:pPr>
        <w:pStyle w:val="845"/>
        <w:pBdr/>
        <w:spacing w:after="60" w:before="0" w:line="276" w:lineRule="auto"/>
        <w:ind/>
        <w:jc w:val="both"/>
        <w:rPr>
          <w:lang w:bidi="pl-PL"/>
        </w:rPr>
      </w:pPr>
      <w:r>
        <w:rPr>
          <w:lang w:bidi="pl-PL"/>
        </w:rPr>
      </w:r>
      <w:r>
        <w:rPr>
          <w:lang w:bidi="pl-PL"/>
        </w:rPr>
      </w:r>
      <w:r>
        <w:rPr>
          <w:lang w:bidi="pl-PL"/>
        </w:rPr>
      </w:r>
    </w:p>
    <w:p w14:paraId="243B49D8">
      <w:pPr>
        <w:pStyle w:val="845"/>
        <w:pBdr/>
        <w:spacing w:after="60" w:before="0" w:line="276" w:lineRule="auto"/>
        <w:ind/>
        <w:jc w:val="both"/>
        <w:rPr>
          <w:lang w:bidi="pl-PL"/>
        </w:rPr>
      </w:pPr>
      <w:r>
        <w:rPr>
          <w:lang w:bidi="pl-PL"/>
        </w:rPr>
      </w:r>
      <w:r>
        <w:rPr>
          <w:lang w:bidi="pl-PL"/>
        </w:rPr>
      </w:r>
      <w:r>
        <w:rPr>
          <w:lang w:bidi="pl-PL"/>
        </w:rPr>
      </w:r>
    </w:p>
    <w:p w14:paraId="78708770">
      <w:pPr>
        <w:pStyle w:val="845"/>
        <w:pBdr/>
        <w:spacing w:after="60" w:before="0" w:line="276" w:lineRule="auto"/>
        <w:ind/>
        <w:jc w:val="both"/>
        <w:rPr>
          <w:lang w:bidi="pl-PL"/>
        </w:rPr>
      </w:pPr>
      <w:r>
        <w:rPr>
          <w:bCs/>
          <w:highlight w:val="none"/>
          <w:lang w:bidi="pl-PL"/>
        </w:rPr>
      </w:r>
      <w:r>
        <w:rPr>
          <w:bCs/>
          <w:highlight w:val="none"/>
          <w:lang w:bidi="pl-PL"/>
        </w:rPr>
      </w:r>
      <w:r>
        <w:rPr>
          <w:lang w:bidi="pl-PL"/>
        </w:rPr>
      </w:r>
    </w:p>
    <w:p w14:paraId="592C1C0D">
      <w:pPr>
        <w:pStyle w:val="930"/>
        <w:numPr>
          <w:ilvl w:val="0"/>
          <w:numId w:val="5"/>
        </w:numPr>
        <w:pBdr/>
        <w:spacing w:after="0" w:before="0" w:line="276" w:lineRule="auto"/>
        <w:ind/>
        <w:contextualSpacing w:val="false"/>
        <w:rPr>
          <w:bCs/>
          <w:lang w:bidi="pl-PL"/>
        </w:rPr>
      </w:pPr>
      <w:r>
        <w:rPr>
          <w:bCs/>
          <w:lang w:bidi="pl-PL"/>
        </w:rPr>
        <w:t xml:space="preserve">dzieci, w tym dzieci z niepełnosprawnościami,</w:t>
      </w:r>
      <w:r>
        <w:rPr>
          <w:bCs/>
          <w:lang w:bidi="pl-PL"/>
        </w:rPr>
      </w:r>
      <w:r>
        <w:rPr>
          <w:bCs/>
          <w:lang w:bidi="pl-PL"/>
        </w:rPr>
      </w:r>
    </w:p>
    <w:p w14:paraId="52CDF073">
      <w:pPr>
        <w:pStyle w:val="930"/>
        <w:numPr>
          <w:ilvl w:val="0"/>
          <w:numId w:val="5"/>
        </w:numPr>
        <w:pBdr/>
        <w:spacing w:after="0" w:before="0" w:line="276" w:lineRule="auto"/>
        <w:ind/>
        <w:contextualSpacing w:val="false"/>
        <w:rPr>
          <w:bCs/>
          <w:lang w:bidi="pl-PL"/>
        </w:rPr>
      </w:pPr>
      <w:r>
        <w:rPr>
          <w:bCs/>
          <w:lang w:bidi="pl-PL"/>
        </w:rPr>
        <w:t xml:space="preserve">osób z niepełnosprawnościami i osób potrzebujących wsparcia w codziennym funkcjonowaniu,</w:t>
      </w:r>
      <w:r>
        <w:rPr>
          <w:bCs/>
          <w:lang w:bidi="pl-PL"/>
        </w:rPr>
      </w:r>
      <w:r>
        <w:rPr>
          <w:bCs/>
          <w:lang w:bidi="pl-PL"/>
        </w:rPr>
      </w:r>
    </w:p>
    <w:p w14:paraId="22AF2A52">
      <w:pPr>
        <w:pStyle w:val="930"/>
        <w:numPr>
          <w:ilvl w:val="0"/>
          <w:numId w:val="5"/>
        </w:numPr>
        <w:pBdr/>
        <w:spacing w:after="0" w:before="0" w:line="276" w:lineRule="auto"/>
        <w:ind/>
        <w:contextualSpacing w:val="false"/>
        <w:rPr>
          <w:bCs/>
          <w:lang w:bidi="pl-PL"/>
        </w:rPr>
      </w:pPr>
      <w:r>
        <w:rPr>
          <w:bCs/>
          <w:lang w:bidi="pl-PL"/>
        </w:rPr>
        <w:t xml:space="preserve">osób w kryzysie psychicznym,</w:t>
      </w:r>
      <w:r>
        <w:rPr>
          <w:bCs/>
          <w:lang w:bidi="pl-PL"/>
        </w:rPr>
      </w:r>
      <w:r>
        <w:rPr>
          <w:bCs/>
          <w:lang w:bidi="pl-PL"/>
        </w:rPr>
      </w:r>
    </w:p>
    <w:p w14:paraId="294A38B2">
      <w:pPr>
        <w:pStyle w:val="930"/>
        <w:numPr>
          <w:ilvl w:val="0"/>
          <w:numId w:val="5"/>
        </w:numPr>
        <w:pBdr/>
        <w:spacing w:after="0" w:before="0" w:line="276" w:lineRule="auto"/>
        <w:ind/>
        <w:contextualSpacing w:val="false"/>
        <w:rPr>
          <w:bCs/>
          <w:lang w:bidi="pl-PL"/>
        </w:rPr>
      </w:pPr>
      <w:r>
        <w:rPr>
          <w:bCs/>
          <w:lang w:bidi="pl-PL"/>
        </w:rPr>
        <w:t xml:space="preserve">osób starszych, </w:t>
      </w:r>
      <w:r>
        <w:rPr>
          <w:bCs/>
          <w:lang w:bidi="pl-PL"/>
        </w:rPr>
      </w:r>
      <w:r>
        <w:rPr>
          <w:bCs/>
          <w:lang w:bidi="pl-PL"/>
        </w:rPr>
      </w:r>
    </w:p>
    <w:p w14:paraId="3B524F61">
      <w:pPr>
        <w:pStyle w:val="930"/>
        <w:numPr>
          <w:ilvl w:val="0"/>
          <w:numId w:val="5"/>
        </w:numPr>
        <w:pBdr/>
        <w:spacing w:after="0" w:before="0" w:line="276" w:lineRule="auto"/>
        <w:ind/>
        <w:contextualSpacing w:val="false"/>
        <w:rPr>
          <w:bCs/>
          <w:lang w:bidi="pl-PL"/>
        </w:rPr>
      </w:pPr>
      <w:r>
        <w:rPr>
          <w:bCs/>
          <w:lang w:bidi="pl-PL"/>
        </w:rPr>
        <w:t xml:space="preserve">osób w kryzysie bezdomności, </w:t>
      </w:r>
      <w:r>
        <w:rPr>
          <w:bCs/>
          <w:lang w:bidi="pl-PL"/>
        </w:rPr>
      </w:r>
      <w:r>
        <w:rPr>
          <w:bCs/>
          <w:lang w:bidi="pl-PL"/>
        </w:rPr>
      </w:r>
    </w:p>
    <w:p w14:paraId="4FCD01BB">
      <w:pPr>
        <w:pStyle w:val="930"/>
        <w:numPr>
          <w:ilvl w:val="0"/>
          <w:numId w:val="5"/>
        </w:numPr>
        <w:pBdr/>
        <w:spacing w:after="120" w:before="0" w:line="276" w:lineRule="auto"/>
        <w:ind w:hanging="357" w:left="714"/>
        <w:contextualSpacing w:val="false"/>
        <w:rPr>
          <w:bCs/>
          <w:lang w:bidi="pl-PL"/>
        </w:rPr>
      </w:pPr>
      <w:r>
        <w:rPr>
          <w:bCs/>
          <w:lang w:bidi="pl-PL"/>
        </w:rPr>
        <w:t xml:space="preserve">wszystkich innych grup zagrożonych ubóstwem i wykluczeniem społecznym.</w:t>
      </w:r>
      <w:r>
        <w:rPr>
          <w:bCs/>
          <w:lang w:bidi="pl-PL"/>
        </w:rPr>
      </w:r>
      <w:r>
        <w:rPr>
          <w:bCs/>
          <w:lang w:bidi="pl-PL"/>
        </w:rPr>
      </w:r>
    </w:p>
    <w:p w14:paraId="605A5A29">
      <w:pPr>
        <w:pStyle w:val="845"/>
        <w:pBdr/>
        <w:spacing w:after="60" w:before="0" w:line="276" w:lineRule="auto"/>
        <w:ind/>
        <w:rPr>
          <w:lang w:bidi="pl-PL"/>
        </w:rPr>
      </w:pPr>
      <w:r>
        <w:rPr>
          <w:lang w:bidi="pl-PL"/>
        </w:rPr>
        <w:t xml:space="preserve">Wśród najważniejszych założeń </w:t>
      </w:r>
      <w:r>
        <w:rPr>
          <w:i/>
          <w:iCs/>
          <w:lang w:bidi="pl-PL"/>
        </w:rPr>
        <w:t xml:space="preserve">Strategii Rozwoju Usług Społecznych</w:t>
      </w:r>
      <w:r>
        <w:rPr>
          <w:lang w:bidi="pl-PL"/>
        </w:rPr>
        <w:t xml:space="preserve"> można wskazać:</w:t>
      </w:r>
      <w:r>
        <w:rPr>
          <w:lang w:bidi="pl-PL"/>
        </w:rPr>
      </w:r>
      <w:r>
        <w:rPr>
          <w:lang w:bidi="pl-PL"/>
        </w:rPr>
      </w:r>
    </w:p>
    <w:p w14:paraId="7D7BCEA5">
      <w:pPr>
        <w:pStyle w:val="845"/>
        <w:numPr>
          <w:ilvl w:val="0"/>
          <w:numId w:val="6"/>
        </w:numPr>
        <w:pBdr/>
        <w:spacing w:after="0" w:before="0" w:line="276" w:lineRule="auto"/>
        <w:ind/>
        <w:rPr>
          <w:lang w:bidi="pl-PL"/>
        </w:rPr>
      </w:pPr>
      <w:r>
        <w:rPr>
          <w:lang w:bidi="pl-PL"/>
        </w:rPr>
        <w:t xml:space="preserve">zwiększenie udziału rodzin i rodzinnych form pieczy zastępczej w opiece i wychowaniu dzieci,</w:t>
      </w:r>
      <w:r>
        <w:rPr>
          <w:lang w:bidi="pl-PL"/>
        </w:rPr>
      </w:r>
      <w:r>
        <w:rPr>
          <w:lang w:bidi="pl-PL"/>
        </w:rPr>
      </w:r>
    </w:p>
    <w:p w14:paraId="2F3E4F64">
      <w:pPr>
        <w:pStyle w:val="845"/>
        <w:numPr>
          <w:ilvl w:val="0"/>
          <w:numId w:val="6"/>
        </w:numPr>
        <w:pBdr/>
        <w:spacing w:after="0" w:before="0" w:line="276" w:lineRule="auto"/>
        <w:ind/>
        <w:rPr>
          <w:lang w:bidi="pl-PL"/>
        </w:rPr>
      </w:pPr>
      <w:r>
        <w:rPr>
          <w:lang w:bidi="pl-PL"/>
        </w:rPr>
        <w:t xml:space="preserve">zbudowanie skutecznego i trwałego systemu świadczenia usług społecznych dla osób potrzebujących wsparcia w codziennym funkcjonowaniu,</w:t>
      </w:r>
      <w:r>
        <w:rPr>
          <w:lang w:bidi="pl-PL"/>
        </w:rPr>
      </w:r>
      <w:r>
        <w:rPr>
          <w:lang w:bidi="pl-PL"/>
        </w:rPr>
      </w:r>
    </w:p>
    <w:p w14:paraId="1E0ACC98">
      <w:pPr>
        <w:pStyle w:val="845"/>
        <w:numPr>
          <w:ilvl w:val="0"/>
          <w:numId w:val="6"/>
        </w:numPr>
        <w:pBdr/>
        <w:spacing w:after="0" w:before="0" w:line="276" w:lineRule="auto"/>
        <w:ind/>
        <w:rPr>
          <w:lang w:bidi="pl-PL"/>
        </w:rPr>
      </w:pPr>
      <w:r>
        <w:rPr>
          <w:lang w:bidi="pl-PL"/>
        </w:rPr>
        <w:t xml:space="preserve">włączenie społeczne osób z niepełnosprawnościami dające możliwość życia </w:t>
        <w:br/>
        <w:t xml:space="preserve">w społeczności lokalnej niezależnie od stopnia niepełnosprawności,</w:t>
      </w:r>
      <w:r>
        <w:rPr>
          <w:lang w:bidi="pl-PL"/>
        </w:rPr>
      </w:r>
      <w:r>
        <w:rPr>
          <w:lang w:bidi="pl-PL"/>
        </w:rPr>
      </w:r>
    </w:p>
    <w:p w14:paraId="6E082BBE">
      <w:pPr>
        <w:pStyle w:val="845"/>
        <w:numPr>
          <w:ilvl w:val="0"/>
          <w:numId w:val="6"/>
        </w:numPr>
        <w:pBdr/>
        <w:spacing w:after="0" w:before="0" w:line="276" w:lineRule="auto"/>
        <w:ind/>
        <w:rPr>
          <w:lang w:bidi="pl-PL"/>
        </w:rPr>
      </w:pPr>
      <w:r>
        <w:rPr>
          <w:lang w:bidi="pl-PL"/>
        </w:rPr>
        <w:t xml:space="preserve">stworzenie skutecznego systemu usług społecznych dla osób z zaburzeniami psychicznymi,</w:t>
      </w:r>
      <w:r>
        <w:rPr>
          <w:lang w:bidi="pl-PL"/>
        </w:rPr>
      </w:r>
      <w:r>
        <w:rPr>
          <w:lang w:bidi="pl-PL"/>
        </w:rPr>
      </w:r>
    </w:p>
    <w:p w14:paraId="54334840">
      <w:pPr>
        <w:pStyle w:val="845"/>
        <w:numPr>
          <w:ilvl w:val="0"/>
          <w:numId w:val="6"/>
        </w:numPr>
        <w:pBdr/>
        <w:spacing w:after="120" w:before="0" w:line="276" w:lineRule="auto"/>
        <w:ind w:hanging="357" w:left="714"/>
        <w:rPr>
          <w:lang w:bidi="pl-PL"/>
        </w:rPr>
      </w:pPr>
      <w:r>
        <w:rPr>
          <w:lang w:bidi="pl-PL"/>
        </w:rPr>
        <w:t xml:space="preserve">stworzenie skutecznego systemu wsparcia dla osób w kryzysie bezdomności oraz osób zagrożonych bezdomnością.</w:t>
      </w:r>
      <w:r>
        <w:rPr>
          <w:lang w:bidi="pl-PL"/>
        </w:rPr>
      </w:r>
      <w:r>
        <w:rPr>
          <w:lang w:bidi="pl-PL"/>
        </w:rPr>
      </w:r>
    </w:p>
    <w:p w14:paraId="5EA1B22C">
      <w:pPr>
        <w:pStyle w:val="845"/>
        <w:pBdr/>
        <w:spacing w:after="60" w:before="0" w:line="276" w:lineRule="auto"/>
        <w:ind/>
        <w:jc w:val="both"/>
        <w:rPr/>
      </w:pPr>
      <w:r>
        <w:t xml:space="preserve">Zaplanowaniu procesu deinstytucjonalizacji usług społecznych na poziomie województwa warmińsko-mazurskiego, w sposób uporządkowany, ustrukturyzowany, w oparciu o dostępne środki europejskie, krajowe i samorządowe, służy </w:t>
      </w:r>
      <w:r>
        <w:rPr>
          <w:i/>
          <w:iCs/>
        </w:rPr>
        <w:t xml:space="preserve">Warmińsko-Mazurski Plan Rozwoju Usług Społecznych i Deinstytucjonalizacji na lata 2026-2028.</w:t>
      </w:r>
      <w:r>
        <w:t xml:space="preserve"> Dokument ten przyjęto Uchwałą Zarządu Województw</w:t>
      </w:r>
      <w:r>
        <w:t xml:space="preserve">a Nr 59/1011/25/VII z dnia 22 grudnia 2025 r. Został opracowany przez Regionalny Ośrodek Polityki Społecznej Urzędu Marszałkowskiego Województwa Warmińsko-Mazurskiego w Olsztynie, przy wsparciu Zespołu ds. rozwoju usług społecznych i deinstytucjonalizacji.</w:t>
      </w:r>
      <w:r/>
    </w:p>
    <w:p w14:paraId="0086E914">
      <w:pPr>
        <w:pStyle w:val="845"/>
        <w:pBdr/>
        <w:spacing w:after="60" w:before="0" w:line="276" w:lineRule="auto"/>
        <w:ind/>
        <w:jc w:val="both"/>
        <w:rPr/>
      </w:pPr>
      <w:r>
        <w:t xml:space="preserve">Cele </w:t>
      </w:r>
      <w:r>
        <w:rPr>
          <w:i/>
          <w:iCs/>
        </w:rPr>
        <w:t xml:space="preserve">Warmińsko-Mazurskiego Planu Rozwoju Usług Społecznych i Deinstytucjonalizacji na lata 2026-2028 </w:t>
      </w:r>
      <w:r>
        <w:t xml:space="preserve">sformułowano następująco</w:t>
      </w:r>
      <w:r/>
    </w:p>
    <w:p w14:paraId="0714B0B2">
      <w:pPr>
        <w:pStyle w:val="845"/>
        <w:numPr>
          <w:ilvl w:val="0"/>
          <w:numId w:val="13"/>
        </w:numPr>
        <w:pBdr/>
        <w:spacing w:after="0" w:before="0" w:line="276" w:lineRule="auto"/>
        <w:ind/>
        <w:rPr/>
      </w:pPr>
      <w:r>
        <w:t xml:space="preserve">określenie kierunków rozwoju usług społecznych, usług zdrowotnych oraz deinstytucjonalizacji na poziomie regionalnym,</w:t>
      </w:r>
      <w:r/>
    </w:p>
    <w:p w14:paraId="3088CD6E">
      <w:pPr>
        <w:pStyle w:val="845"/>
        <w:numPr>
          <w:ilvl w:val="0"/>
          <w:numId w:val="13"/>
        </w:numPr>
        <w:pBdr/>
        <w:spacing w:after="0" w:before="0" w:line="276" w:lineRule="auto"/>
        <w:ind/>
        <w:rPr/>
      </w:pPr>
      <w:r>
        <w:t xml:space="preserve">powiązanie dostępnych źródeł finansowania, w szczególności funduszy europejskich, a także innych źródeł finansowych (rządowych, samorządowych) z regionalnymi celami i działaniami w obszarze usług społecznych i deinstytucjonalizacji,</w:t>
      </w:r>
      <w:r/>
    </w:p>
    <w:p w14:paraId="7A81639A">
      <w:pPr>
        <w:pStyle w:val="845"/>
        <w:numPr>
          <w:ilvl w:val="0"/>
          <w:numId w:val="13"/>
        </w:numPr>
        <w:pBdr/>
        <w:spacing w:after="60" w:before="0" w:line="276" w:lineRule="auto"/>
        <w:ind/>
        <w:rPr/>
      </w:pPr>
      <w:r>
        <w:t xml:space="preserve">skoordynowanie działań podejmowanych przez różne departamenty/jednostki organizacyjne samorządu województwa przy uwzględnieniu potencjału i zasobów sektora obywatelskiego i partnerów społecznych.</w:t>
      </w:r>
      <w:r/>
    </w:p>
    <w:p w14:paraId="1BB986A3">
      <w:pPr>
        <w:pStyle w:val="845"/>
        <w:pBdr/>
        <w:spacing w:after="60" w:before="0" w:line="276" w:lineRule="auto"/>
        <w:ind/>
        <w:jc w:val="both"/>
        <w:rPr>
          <w:highlight w:val="none"/>
        </w:rPr>
      </w:pPr>
      <w:r>
        <w:t xml:space="preserve">Sformułowano również cele horyzontalne w procesie rozwoju usług społecznych </w:t>
        <w:br/>
        <w:t xml:space="preserve">i deinstytucjonalizacji w województwie warmińsko-mazurskim, wspólne dla wszystkich obszarów interwencji. Są to:</w:t>
      </w:r>
      <w:r>
        <w:rPr>
          <w:highlight w:val="none"/>
        </w:rPr>
      </w:r>
    </w:p>
    <w:p w14:paraId="53662DFF">
      <w:pPr>
        <w:pStyle w:val="845"/>
        <w:pBdr/>
        <w:spacing w:after="60" w:before="0" w:line="276" w:lineRule="auto"/>
        <w:ind/>
        <w:jc w:val="both"/>
        <w:rPr/>
      </w:pPr>
      <w:r/>
      <w:r/>
    </w:p>
    <w:p w14:paraId="7EB2617C">
      <w:pPr>
        <w:pStyle w:val="845"/>
        <w:pBdr/>
        <w:spacing w:after="60" w:before="0" w:line="276" w:lineRule="auto"/>
        <w:ind/>
        <w:jc w:val="both"/>
        <w:rPr/>
      </w:pPr>
      <w:r/>
      <w:r/>
    </w:p>
    <w:p w14:paraId="3C74F123">
      <w:pPr>
        <w:pStyle w:val="845"/>
        <w:pBdr/>
        <w:spacing w:after="60" w:before="0" w:line="276" w:lineRule="auto"/>
        <w:ind/>
        <w:jc w:val="both"/>
        <w:rPr/>
      </w:pPr>
      <w:r/>
      <w:r/>
    </w:p>
    <w:p w14:paraId="077F7A8B">
      <w:pPr>
        <w:pStyle w:val="845"/>
        <w:pBdr/>
        <w:spacing w:after="60" w:before="0" w:line="276" w:lineRule="auto"/>
        <w:ind/>
        <w:jc w:val="both"/>
        <w:rPr/>
      </w:pPr>
      <w:r/>
      <w:r/>
    </w:p>
    <w:p w14:paraId="13E9DEE6">
      <w:pPr>
        <w:pStyle w:val="845"/>
        <w:pBdr/>
        <w:spacing w:after="60" w:before="0" w:line="276" w:lineRule="auto"/>
        <w:ind/>
        <w:jc w:val="both"/>
        <w:rPr/>
      </w:pPr>
      <w:r>
        <w:rPr>
          <w:highlight w:val="none"/>
        </w:rPr>
      </w:r>
      <w:r>
        <w:rPr>
          <w:highlight w:val="none"/>
        </w:rPr>
      </w:r>
      <w:r/>
    </w:p>
    <w:p w14:paraId="419C0541">
      <w:pPr>
        <w:pStyle w:val="930"/>
        <w:numPr>
          <w:ilvl w:val="0"/>
          <w:numId w:val="16"/>
        </w:numPr>
        <w:pBdr/>
        <w:spacing w:after="0" w:before="0" w:line="276" w:lineRule="auto"/>
        <w:ind/>
        <w:contextualSpacing w:val="false"/>
        <w:rPr/>
      </w:pPr>
      <w:r>
        <w:t xml:space="preserve">Tworzenie miejsc koordynacji usług w formie Centrów Usług Społecznych. </w:t>
      </w:r>
      <w:r/>
    </w:p>
    <w:p w14:paraId="2A8A4BE1">
      <w:pPr>
        <w:pStyle w:val="930"/>
        <w:numPr>
          <w:ilvl w:val="0"/>
          <w:numId w:val="16"/>
        </w:numPr>
        <w:pBdr/>
        <w:spacing w:after="0" w:before="0" w:line="276" w:lineRule="auto"/>
        <w:ind/>
        <w:contextualSpacing w:val="false"/>
        <w:rPr/>
      </w:pPr>
      <w:r>
        <w:t xml:space="preserve">Wzmocnienie współpracy międzyinstytucjonalnej i partnerstw na rzecz DI i usług społecznych.</w:t>
      </w:r>
      <w:r/>
    </w:p>
    <w:p w14:paraId="115087F4">
      <w:pPr>
        <w:pStyle w:val="930"/>
        <w:numPr>
          <w:ilvl w:val="0"/>
          <w:numId w:val="16"/>
        </w:numPr>
        <w:pBdr/>
        <w:spacing w:after="0" w:before="0" w:line="276" w:lineRule="auto"/>
        <w:ind/>
        <w:contextualSpacing w:val="false"/>
        <w:rPr/>
      </w:pPr>
      <w:r>
        <w:t xml:space="preserve">Doskonalenie zawodowe, podnoszenie kwalifikacji i kompetencji kadr jednostek pomocy społecznej i wspierania rodziny, pieczy zastępczej, PES w obszarze usług i DI. </w:t>
      </w:r>
      <w:r/>
    </w:p>
    <w:p w14:paraId="5949E7C5">
      <w:pPr>
        <w:pStyle w:val="930"/>
        <w:numPr>
          <w:ilvl w:val="0"/>
          <w:numId w:val="16"/>
        </w:numPr>
        <w:pBdr/>
        <w:spacing w:after="0" w:before="0" w:line="276" w:lineRule="auto"/>
        <w:ind/>
        <w:contextualSpacing w:val="false"/>
        <w:rPr/>
      </w:pPr>
      <w:r>
        <w:t xml:space="preserve">Rozwój usług społecznych poprzez inwestycje w infrastrukturę zgodnie z DI. </w:t>
      </w:r>
      <w:r/>
    </w:p>
    <w:p w14:paraId="2CFFF8C9">
      <w:pPr>
        <w:pStyle w:val="930"/>
        <w:numPr>
          <w:ilvl w:val="0"/>
          <w:numId w:val="16"/>
        </w:numPr>
        <w:pBdr/>
        <w:spacing w:after="0" w:before="0" w:line="276" w:lineRule="auto"/>
        <w:ind/>
        <w:contextualSpacing w:val="false"/>
        <w:rPr/>
      </w:pPr>
      <w:r>
        <w:t xml:space="preserve">Wsparcie i częściowe odciążenie opiekunów faktycznych w opiece nad osobami potrzebującymi wsparcia w codziennym funkcjonowaniu. </w:t>
      </w:r>
      <w:r/>
    </w:p>
    <w:p w14:paraId="6226272F">
      <w:pPr>
        <w:pStyle w:val="930"/>
        <w:numPr>
          <w:ilvl w:val="0"/>
          <w:numId w:val="16"/>
        </w:numPr>
        <w:pBdr/>
        <w:spacing w:after="0" w:before="0" w:line="276" w:lineRule="auto"/>
        <w:ind/>
        <w:contextualSpacing w:val="false"/>
        <w:rPr/>
      </w:pPr>
      <w:r>
        <w:t xml:space="preserve">Przeciwdziałanie wykluczeniu komunikacyjnemu. </w:t>
      </w:r>
      <w:r/>
    </w:p>
    <w:p w14:paraId="3ADA6EE8">
      <w:pPr>
        <w:pStyle w:val="930"/>
        <w:numPr>
          <w:ilvl w:val="0"/>
          <w:numId w:val="16"/>
        </w:numPr>
        <w:pBdr/>
        <w:spacing w:after="0" w:before="0" w:line="276" w:lineRule="auto"/>
        <w:ind/>
        <w:contextualSpacing w:val="false"/>
        <w:rPr/>
      </w:pPr>
      <w:r>
        <w:t xml:space="preserve">Profesjonalizacja podmiotów ekonomii społecznej. </w:t>
      </w:r>
      <w:r/>
    </w:p>
    <w:p w14:paraId="5D7E190B">
      <w:pPr>
        <w:pStyle w:val="930"/>
        <w:numPr>
          <w:ilvl w:val="0"/>
          <w:numId w:val="16"/>
        </w:numPr>
        <w:pBdr/>
        <w:spacing w:after="120" w:before="0" w:line="276" w:lineRule="auto"/>
        <w:ind w:hanging="357" w:left="714"/>
        <w:contextualSpacing w:val="false"/>
        <w:rPr/>
      </w:pPr>
      <w:r>
        <w:t xml:space="preserve">Wzmocnienie świadomości nt. dostępności usług społecznych.</w:t>
      </w:r>
      <w:r/>
    </w:p>
    <w:p w14:paraId="58FD6C7E">
      <w:pPr>
        <w:pStyle w:val="845"/>
        <w:pBdr/>
        <w:spacing w:after="60" w:before="0" w:line="276" w:lineRule="auto"/>
        <w:ind/>
        <w:jc w:val="both"/>
        <w:rPr/>
      </w:pPr>
      <w:r>
        <w:t xml:space="preserve">Obszary interwencji ujęte w </w:t>
      </w:r>
      <w:r>
        <w:rPr>
          <w:i/>
          <w:iCs/>
        </w:rPr>
        <w:t xml:space="preserve">Warmińsko-Mazurskim Planie Rozwoju Usług Społecznych </w:t>
        <w:br/>
        <w:t xml:space="preserve">i Deinstytucjonalizacji na lata 2026-2028 </w:t>
      </w:r>
      <w:r>
        <w:t xml:space="preserve">wskazano poniżej:</w:t>
      </w:r>
      <w:r/>
    </w:p>
    <w:p w14:paraId="2310A64D">
      <w:pPr>
        <w:pStyle w:val="845"/>
        <w:numPr>
          <w:ilvl w:val="0"/>
          <w:numId w:val="11"/>
        </w:numPr>
        <w:pBdr/>
        <w:spacing w:after="0" w:before="0" w:line="276" w:lineRule="auto"/>
        <w:ind/>
        <w:rPr/>
      </w:pPr>
      <w:r>
        <w:t xml:space="preserve">Obszar I – Rodzina z dziećmi, w tym z dziećmi z niepełnosprawnością</w:t>
      </w:r>
      <w:r/>
    </w:p>
    <w:p w14:paraId="1353E1D1">
      <w:pPr>
        <w:pStyle w:val="845"/>
        <w:numPr>
          <w:ilvl w:val="0"/>
          <w:numId w:val="11"/>
        </w:numPr>
        <w:pBdr/>
        <w:spacing w:after="0" w:before="0" w:line="276" w:lineRule="auto"/>
        <w:ind/>
        <w:rPr/>
      </w:pPr>
      <w:r>
        <w:t xml:space="preserve">Obszar II – Seniorzy, ich bliscy i rodziny</w:t>
      </w:r>
      <w:r/>
    </w:p>
    <w:p w14:paraId="38204A10">
      <w:pPr>
        <w:pStyle w:val="845"/>
        <w:numPr>
          <w:ilvl w:val="0"/>
          <w:numId w:val="11"/>
        </w:numPr>
        <w:pBdr/>
        <w:spacing w:after="0" w:before="0" w:line="276" w:lineRule="auto"/>
        <w:ind/>
        <w:rPr/>
      </w:pPr>
      <w:r>
        <w:t xml:space="preserve">Obszar III – Osoby z niepełnosprawnościami, ich bliscy i rodziny,</w:t>
      </w:r>
      <w:r/>
    </w:p>
    <w:p w14:paraId="2266E112">
      <w:pPr>
        <w:pStyle w:val="845"/>
        <w:numPr>
          <w:ilvl w:val="0"/>
          <w:numId w:val="11"/>
        </w:numPr>
        <w:pBdr/>
        <w:spacing w:after="0" w:before="0" w:line="276" w:lineRule="auto"/>
        <w:ind/>
        <w:rPr/>
      </w:pPr>
      <w:r>
        <w:t xml:space="preserve">Obszar IV – Osoby w kryzysie zdrowia psychicznego, ich bliscy i rodziny,</w:t>
      </w:r>
      <w:r/>
    </w:p>
    <w:p w14:paraId="49F0FAA7">
      <w:pPr>
        <w:pStyle w:val="845"/>
        <w:numPr>
          <w:ilvl w:val="0"/>
          <w:numId w:val="11"/>
        </w:numPr>
        <w:pBdr/>
        <w:spacing w:after="0" w:before="0" w:line="276" w:lineRule="auto"/>
        <w:ind/>
        <w:rPr/>
      </w:pPr>
      <w:r>
        <w:t xml:space="preserve">Obszar V – Osoby w kryzysie bezdomności i zagrożone bezdomnością,</w:t>
      </w:r>
      <w:r/>
    </w:p>
    <w:p w14:paraId="034361D1">
      <w:pPr>
        <w:pStyle w:val="845"/>
        <w:numPr>
          <w:ilvl w:val="0"/>
          <w:numId w:val="11"/>
        </w:numPr>
        <w:pBdr/>
        <w:spacing w:after="60" w:before="0" w:line="276" w:lineRule="auto"/>
        <w:ind/>
        <w:rPr/>
      </w:pPr>
      <w:r>
        <w:t xml:space="preserve">Obszar VI – Migranci, obywatele państw trzecich</w:t>
      </w:r>
      <w:r/>
    </w:p>
    <w:p w14:paraId="34860AFC">
      <w:pPr>
        <w:pStyle w:val="845"/>
        <w:pBdr/>
        <w:spacing w:after="0" w:before="0" w:line="276" w:lineRule="auto"/>
        <w:ind/>
        <w:jc w:val="both"/>
        <w:rPr/>
      </w:pPr>
      <w:r>
        <w:t xml:space="preserve">Założenia krajowych i regionalnych dokumentów strategicznych zostały uwzględnione przy opracowywaniu </w:t>
      </w:r>
      <w:r>
        <w:rPr>
          <w:i/>
          <w:iCs/>
        </w:rPr>
        <w:t xml:space="preserve">Lokalnego Planu Deinstytucjonalizacji Usług Społecznych w Gminie Braniewo na lata 2026-2030. </w:t>
      </w:r>
      <w:r>
        <w:t xml:space="preserve">Jest on ponadto zgodny ze </w:t>
      </w:r>
      <w:r>
        <w:rPr>
          <w:i/>
          <w:iCs/>
        </w:rPr>
        <w:t xml:space="preserve">Strategią Rozwiązywania Problemów Społecznych Gminy Braniewo na lata 2025-2033. </w:t>
      </w:r>
      <w:r>
        <w:t xml:space="preserve">Jej cel główny brzmi następująco:</w:t>
      </w:r>
      <w:r/>
    </w:p>
    <w:p w14:paraId="012DB26D">
      <w:pPr>
        <w:pStyle w:val="845"/>
        <w:pBdr/>
        <w:spacing w:after="240" w:before="240"/>
        <w:ind/>
        <w:jc w:val="center"/>
        <w:rPr>
          <w:i/>
          <w:iCs/>
        </w:rPr>
      </w:pPr>
      <w:r>
        <w:rPr>
          <w:i/>
          <w:iCs/>
        </w:rPr>
        <w:t xml:space="preserve">Zwiększenie dostępności oraz jakości kompleksowych usług społecznych sprzyjających poprawie jakości życia mieszkańców Gminy Braniewo.</w:t>
      </w:r>
      <w:r>
        <w:rPr>
          <w:i/>
          <w:iCs/>
        </w:rPr>
      </w:r>
      <w:r>
        <w:rPr>
          <w:i/>
          <w:iCs/>
        </w:rPr>
      </w:r>
    </w:p>
    <w:p w14:paraId="0B653B7D">
      <w:pPr>
        <w:pStyle w:val="845"/>
        <w:pBdr/>
        <w:spacing w:after="0" w:before="0" w:line="276" w:lineRule="auto"/>
        <w:ind/>
        <w:jc w:val="both"/>
        <w:rPr/>
      </w:pPr>
      <w:r>
        <w:t xml:space="preserve">Osiągnięciu celu głównego służy realizacja celów strategicznych i operacyjnych, poprzez każdorazowo określony katalog działań, wyznaczający kluczowe, niezbędne kierunki zaangażowania </w:t>
      </w:r>
      <w:r>
        <w:t xml:space="preserve">władz samorządu, jednostek organizacyjnych gminy oraz partnerów lokalnych. Nie jest katalogiem zamkniętym, więc jeżeli w trakcie wdrażania Strategii pojawią się jeszcze inne pomysły (projekty) wpisujące się w jej cele, to również mają być wzięte pod uwagę.</w:t>
      </w:r>
      <w:r/>
    </w:p>
    <w:p w14:paraId="279CF55B">
      <w:pPr>
        <w:pStyle w:val="845"/>
        <w:pBdr/>
        <w:spacing w:after="0" w:before="0" w:line="276" w:lineRule="auto"/>
        <w:ind/>
        <w:jc w:val="both"/>
        <w:rPr/>
      </w:pPr>
      <w:r>
        <w:t xml:space="preserve">W ramach każdego celu strategicznego określono katalog działań uwzględniających oddziaływanie z jednej strony na całą społeczność gminy, a z drugiej na wybrane grupy zagrożone ubóstwem i wykluczeniem społeczno-zawodowym. Są to przede wszystkim: </w:t>
      </w:r>
      <w:r/>
    </w:p>
    <w:p w14:paraId="0D67BA43">
      <w:pPr>
        <w:pStyle w:val="845"/>
        <w:numPr>
          <w:ilvl w:val="0"/>
          <w:numId w:val="17"/>
        </w:numPr>
        <w:pBdr/>
        <w:spacing w:after="0" w:before="0" w:line="276" w:lineRule="auto"/>
        <w:ind/>
        <w:rPr/>
      </w:pPr>
      <w:r>
        <w:t xml:space="preserve">rodziny z dziećmi w szczególności niepełne i wielodzietne, doświadczające pro</w:t>
      </w:r>
      <w:r>
        <w:t xml:space="preserve">blemów opiekuńczo-wychowawczych oraz trudności w zapewnieniu odpowiednich warunków socjalno-bytowych, charakteryzujące się biernością zawodową i społeczną, a także dotknięte lub zagrożone dysfunkcjami takimi jak przemoc domowa, uzależnienia, przestępczość;</w:t>
      </w:r>
      <w:r/>
    </w:p>
    <w:p w14:paraId="336BB342">
      <w:pPr>
        <w:pStyle w:val="845"/>
        <w:pBdr/>
        <w:spacing w:after="0" w:before="0" w:line="276" w:lineRule="auto"/>
        <w:ind/>
        <w:rPr/>
      </w:pPr>
      <w:r/>
      <w:r/>
    </w:p>
    <w:p w14:paraId="6916A178">
      <w:pPr>
        <w:pStyle w:val="845"/>
        <w:pBdr/>
        <w:spacing w:after="0" w:before="0" w:line="276" w:lineRule="auto"/>
        <w:ind/>
        <w:rPr/>
      </w:pPr>
      <w:r/>
      <w:r/>
    </w:p>
    <w:p w14:paraId="117B2996">
      <w:pPr>
        <w:pStyle w:val="845"/>
        <w:pBdr/>
        <w:spacing w:after="0" w:before="0" w:line="276" w:lineRule="auto"/>
        <w:ind/>
        <w:rPr/>
      </w:pPr>
      <w:r/>
      <w:r/>
    </w:p>
    <w:p w14:paraId="21DAA2B3">
      <w:pPr>
        <w:pStyle w:val="845"/>
        <w:pBdr/>
        <w:spacing w:after="0" w:before="0" w:line="276" w:lineRule="auto"/>
        <w:ind/>
        <w:rPr/>
      </w:pPr>
      <w:r/>
      <w:r/>
    </w:p>
    <w:p w14:paraId="696B58B3">
      <w:pPr>
        <w:pStyle w:val="845"/>
        <w:pBdr/>
        <w:spacing w:after="0" w:before="0" w:line="276" w:lineRule="auto"/>
        <w:ind/>
        <w:rPr/>
      </w:pPr>
      <w:r/>
      <w:r/>
    </w:p>
    <w:p w14:paraId="7FACB06E">
      <w:pPr>
        <w:pStyle w:val="845"/>
        <w:pBdr/>
        <w:spacing w:after="0" w:before="0" w:line="276" w:lineRule="auto"/>
        <w:ind/>
        <w:rPr/>
      </w:pPr>
      <w:r/>
      <w:r/>
    </w:p>
    <w:p w14:paraId="6672E26A">
      <w:pPr>
        <w:pStyle w:val="845"/>
        <w:pBdr/>
        <w:spacing w:after="0" w:before="0" w:line="276" w:lineRule="auto"/>
        <w:ind/>
        <w:rPr/>
      </w:pPr>
      <w:r>
        <w:rPr>
          <w:highlight w:val="none"/>
        </w:rPr>
      </w:r>
      <w:r>
        <w:rPr>
          <w:highlight w:val="none"/>
        </w:rPr>
      </w:r>
      <w:r/>
    </w:p>
    <w:p w14:paraId="4B492FC3">
      <w:pPr>
        <w:pStyle w:val="845"/>
        <w:numPr>
          <w:ilvl w:val="0"/>
          <w:numId w:val="17"/>
        </w:numPr>
        <w:pBdr/>
        <w:spacing w:after="0" w:before="0" w:line="276" w:lineRule="auto"/>
        <w:ind/>
        <w:rPr/>
      </w:pPr>
      <w:r>
        <w:t xml:space="preserve">dzieci i młodzież bez względu na status społeczny </w:t>
      </w:r>
      <w:r>
        <w:t xml:space="preserve">i poziom zamożności ich rodzin, </w:t>
        <w:br/>
        <w:t xml:space="preserve">z uwagi na szczególne zagrożenie problemami takimi jak ubóstwo, bezrobocie, brak odpowiednich perspektyw życiowych, uzależnienia (zwłaszcza od alkoholu, dopalaczy, internetu, gier komputerowych) i inne zachowania ryzykowne;</w:t>
      </w:r>
      <w:r/>
    </w:p>
    <w:p w14:paraId="0857A59C">
      <w:pPr>
        <w:pStyle w:val="845"/>
        <w:numPr>
          <w:ilvl w:val="0"/>
          <w:numId w:val="17"/>
        </w:numPr>
        <w:pBdr/>
        <w:spacing w:after="0" w:before="0" w:line="276" w:lineRule="auto"/>
        <w:ind/>
        <w:rPr/>
      </w:pPr>
      <w:r>
        <w:t xml:space="preserve">osoby starsze, z niep</w:t>
      </w:r>
      <w:r>
        <w:t xml:space="preserve">ełnosprawnościami i/lub ciężko, przewlekle chorujące, zwłaszcza te, które posiadają niewielkie dochody (np. w postaci emerytury lub renty), zaś </w:t>
        <w:br/>
        <w:t xml:space="preserve">w swoich środowiskach są osamotnione oraz osoby w kryzysie zdrowia psychicznego </w:t>
        <w:br/>
        <w:t xml:space="preserve">i z zaburzeniami psychicznymi;</w:t>
      </w:r>
      <w:r/>
    </w:p>
    <w:p w14:paraId="6362C540">
      <w:pPr>
        <w:pStyle w:val="845"/>
        <w:numPr>
          <w:ilvl w:val="0"/>
          <w:numId w:val="17"/>
        </w:numPr>
        <w:pBdr/>
        <w:spacing w:after="0" w:before="0" w:line="276" w:lineRule="auto"/>
        <w:ind/>
        <w:rPr/>
      </w:pPr>
      <w:r>
        <w:t xml:space="preserve">osoby znajdujące się w sytuacjach skrajnych (pod względem egzystencjalnym), </w:t>
        <w:br/>
        <w:t xml:space="preserve">w szczególności z powodu uzależnień, bezdomności, pobytu w zakładzie karnym, zdarzeń losowych; </w:t>
      </w:r>
      <w:r/>
    </w:p>
    <w:p w14:paraId="0E8CE7CB">
      <w:pPr>
        <w:pStyle w:val="845"/>
        <w:numPr>
          <w:ilvl w:val="0"/>
          <w:numId w:val="17"/>
        </w:numPr>
        <w:pBdr/>
        <w:spacing w:after="0" w:before="0" w:line="276" w:lineRule="auto"/>
        <w:ind/>
        <w:rPr/>
      </w:pPr>
      <w:r>
        <w:t xml:space="preserve">społeczność gminy ze względu na potrzebę wzmacniania jej aktywności oraz integracji i zaangażowania w sprawy lokalne, a także ustawicznego kształcenia w różnych obszarach, takich jak zdrowie, bezpieczeństwo, prawo, ekologia.</w:t>
      </w:r>
      <w:r/>
    </w:p>
    <w:p w14:paraId="590D4B69">
      <w:pPr>
        <w:pStyle w:val="845"/>
        <w:pBdr/>
        <w:spacing w:after="0" w:before="0" w:line="276" w:lineRule="auto"/>
        <w:ind/>
        <w:jc w:val="both"/>
        <w:rPr/>
      </w:pPr>
      <w:r>
        <w:t xml:space="preserve">Zdefiniowane wyżej obszary oddziaływań przekła</w:t>
      </w:r>
      <w:r>
        <w:t xml:space="preserve">dają się na zaplanowane w ramach Strategii kierunki niezbędnych działań, które integrują zasoby, kompetencje i zadania z zakresu pomocy społecznej, rynku pracy, edukacji, zdrowia, mieszkalnictwa, bezpieczeństwa publicznego, kultury oraz sportu i rekreacji.</w:t>
      </w:r>
      <w:r/>
    </w:p>
    <w:p w14:paraId="0844D6BF">
      <w:pPr>
        <w:pStyle w:val="845"/>
        <w:pBdr/>
        <w:spacing w:after="0" w:before="0" w:line="276" w:lineRule="auto"/>
        <w:ind/>
        <w:rPr>
          <w:sz w:val="10"/>
          <w:szCs w:val="8"/>
        </w:rPr>
      </w:pPr>
      <w:r>
        <w:rPr>
          <w:sz w:val="10"/>
          <w:szCs w:val="8"/>
        </w:rPr>
      </w:r>
      <w:r>
        <w:rPr>
          <w:sz w:val="10"/>
          <w:szCs w:val="8"/>
        </w:rPr>
      </w:r>
      <w:r>
        <w:rPr>
          <w:sz w:val="10"/>
          <w:szCs w:val="8"/>
        </w:rPr>
      </w:r>
    </w:p>
    <w:p w14:paraId="7CAF755B">
      <w:pPr>
        <w:pStyle w:val="845"/>
        <w:pBdr/>
        <w:spacing w:after="60" w:before="0" w:line="276" w:lineRule="auto"/>
        <w:ind/>
        <w:rPr/>
      </w:pPr>
      <w:r>
        <w:t xml:space="preserve">Cele strategiczne i operacyjne określono następująco:</w:t>
      </w:r>
      <w:r/>
    </w:p>
    <w:p w14:paraId="52788D4D">
      <w:pPr>
        <w:pStyle w:val="930"/>
        <w:numPr>
          <w:ilvl w:val="0"/>
          <w:numId w:val="18"/>
        </w:numPr>
        <w:pBdr/>
        <w:spacing w:after="60" w:before="0" w:line="276" w:lineRule="auto"/>
        <w:ind/>
        <w:contextualSpacing w:val="false"/>
        <w:rPr>
          <w:bCs/>
        </w:rPr>
      </w:pPr>
      <w:r>
        <w:rPr>
          <w:bCs/>
        </w:rPr>
        <w:t xml:space="preserve">Wzmocnienie rodzin w sferze opieki i wychowania, ze szczególnym uwzględnieniem warunków rozwoju dzieci i młodzieży.</w:t>
      </w:r>
      <w:r>
        <w:rPr>
          <w:bCs/>
        </w:rPr>
      </w:r>
      <w:r>
        <w:rPr>
          <w:bCs/>
        </w:rPr>
      </w:r>
    </w:p>
    <w:p w14:paraId="1AE77868">
      <w:pPr>
        <w:pStyle w:val="930"/>
        <w:numPr>
          <w:ilvl w:val="0"/>
          <w:numId w:val="19"/>
        </w:numPr>
        <w:pBdr/>
        <w:spacing w:after="0" w:before="0" w:line="276" w:lineRule="auto"/>
        <w:ind w:hanging="284" w:left="993"/>
        <w:contextualSpacing w:val="false"/>
        <w:rPr>
          <w:bCs/>
        </w:rPr>
      </w:pPr>
      <w:r>
        <w:rPr>
          <w:bCs/>
        </w:rPr>
        <w:t xml:space="preserve">Poprawa kompetencji rodziców i opiekunów w zakresie opieki i wychowania dzieci.</w:t>
      </w:r>
      <w:r>
        <w:rPr>
          <w:bCs/>
        </w:rPr>
      </w:r>
      <w:r>
        <w:rPr>
          <w:bCs/>
        </w:rPr>
      </w:r>
    </w:p>
    <w:p w14:paraId="1FFDA6AE">
      <w:pPr>
        <w:pStyle w:val="930"/>
        <w:numPr>
          <w:ilvl w:val="0"/>
          <w:numId w:val="19"/>
        </w:numPr>
        <w:pBdr/>
        <w:spacing w:after="0" w:before="0" w:line="276" w:lineRule="auto"/>
        <w:ind w:hanging="284" w:left="993"/>
        <w:contextualSpacing w:val="false"/>
        <w:rPr>
          <w:bCs/>
        </w:rPr>
      </w:pPr>
      <w:r>
        <w:rPr>
          <w:bCs/>
        </w:rPr>
        <w:t xml:space="preserve">Zapewnienie rodzinom doświadczającym trudności dostępu do kompleksowego wsparcia.</w:t>
      </w:r>
      <w:r>
        <w:rPr>
          <w:bCs/>
        </w:rPr>
      </w:r>
      <w:r>
        <w:rPr>
          <w:bCs/>
        </w:rPr>
      </w:r>
    </w:p>
    <w:p w14:paraId="2AF7935F">
      <w:pPr>
        <w:pStyle w:val="930"/>
        <w:numPr>
          <w:ilvl w:val="0"/>
          <w:numId w:val="19"/>
        </w:numPr>
        <w:pBdr/>
        <w:spacing w:after="60" w:before="0" w:line="276" w:lineRule="auto"/>
        <w:ind w:hanging="284" w:left="993"/>
        <w:contextualSpacing w:val="false"/>
        <w:rPr>
          <w:bCs/>
        </w:rPr>
      </w:pPr>
      <w:r>
        <w:rPr>
          <w:bCs/>
        </w:rPr>
        <w:t xml:space="preserve">Zwiększenie efektywności lokalnego systemu wsparcia dziecka i rodziny.</w:t>
      </w:r>
      <w:r>
        <w:rPr>
          <w:bCs/>
        </w:rPr>
      </w:r>
      <w:r>
        <w:rPr>
          <w:bCs/>
        </w:rPr>
      </w:r>
    </w:p>
    <w:p w14:paraId="15A6BA41">
      <w:pPr>
        <w:pStyle w:val="930"/>
        <w:numPr>
          <w:ilvl w:val="0"/>
          <w:numId w:val="18"/>
        </w:numPr>
        <w:pBdr/>
        <w:spacing w:after="60" w:before="0" w:line="276" w:lineRule="auto"/>
        <w:ind/>
        <w:contextualSpacing w:val="false"/>
        <w:rPr/>
      </w:pPr>
      <w:r>
        <w:t xml:space="preserve">Poprawa funkcjonowania mieszkańców gminy w sferze społeczno-zawodowej oraz socjalno-bytowej.</w:t>
      </w:r>
      <w:r/>
    </w:p>
    <w:p w14:paraId="3EC7DF03">
      <w:pPr>
        <w:pStyle w:val="930"/>
        <w:numPr>
          <w:ilvl w:val="0"/>
          <w:numId w:val="20"/>
        </w:numPr>
        <w:pBdr/>
        <w:spacing w:after="0" w:before="0" w:line="276" w:lineRule="auto"/>
        <w:ind w:hanging="284" w:left="993"/>
        <w:contextualSpacing w:val="false"/>
        <w:rPr/>
      </w:pPr>
      <w:r>
        <w:t xml:space="preserve">Zwiększenie kompetencji mieszkańców sprzyjających aktywności i samodzielności.</w:t>
      </w:r>
      <w:r/>
    </w:p>
    <w:p w14:paraId="598B88E5">
      <w:pPr>
        <w:pStyle w:val="930"/>
        <w:numPr>
          <w:ilvl w:val="0"/>
          <w:numId w:val="20"/>
        </w:numPr>
        <w:pBdr/>
        <w:spacing w:after="0" w:before="0" w:line="276" w:lineRule="auto"/>
        <w:ind w:hanging="284" w:left="993"/>
        <w:contextualSpacing w:val="false"/>
        <w:rPr/>
      </w:pPr>
      <w:r>
        <w:t xml:space="preserve">Zmniejszanie barier utrudniających dostęp mieszkańców do aktywizacji zawodowej.</w:t>
      </w:r>
      <w:r/>
    </w:p>
    <w:p w14:paraId="47305940">
      <w:pPr>
        <w:pStyle w:val="930"/>
        <w:numPr>
          <w:ilvl w:val="0"/>
          <w:numId w:val="20"/>
        </w:numPr>
        <w:pBdr/>
        <w:spacing w:after="60" w:before="0" w:line="276" w:lineRule="auto"/>
        <w:ind w:hanging="284" w:left="993"/>
        <w:contextualSpacing w:val="false"/>
        <w:rPr/>
      </w:pPr>
      <w:r>
        <w:t xml:space="preserve">Poprawa warunków socjalno-bytowych osób i rodzin mieszkających w gminie.</w:t>
      </w:r>
      <w:r/>
    </w:p>
    <w:p w14:paraId="4C826AA4">
      <w:pPr>
        <w:pStyle w:val="930"/>
        <w:numPr>
          <w:ilvl w:val="0"/>
          <w:numId w:val="18"/>
        </w:numPr>
        <w:pBdr/>
        <w:spacing w:after="60" w:before="0" w:line="276" w:lineRule="auto"/>
        <w:ind/>
        <w:contextualSpacing w:val="false"/>
        <w:rPr/>
      </w:pPr>
      <w:r>
        <w:t xml:space="preserve">Kreowanie warunków sprzyjających aktywności i rozwojowi osób starszych, w tym sprawnemu ich funkcjonowaniu w środowisku lokalnym.</w:t>
      </w:r>
      <w:r/>
    </w:p>
    <w:p w14:paraId="493A7185">
      <w:pPr>
        <w:pStyle w:val="930"/>
        <w:numPr>
          <w:ilvl w:val="0"/>
          <w:numId w:val="21"/>
        </w:numPr>
        <w:pBdr/>
        <w:spacing w:after="0" w:before="0" w:line="276" w:lineRule="auto"/>
        <w:ind w:hanging="284" w:left="993"/>
        <w:contextualSpacing w:val="false"/>
        <w:rPr/>
      </w:pPr>
      <w:r>
        <w:t xml:space="preserve">Rozwój oferty aktywizacji osób starszych w środowisku lokalnym.</w:t>
      </w:r>
      <w:r/>
    </w:p>
    <w:p w14:paraId="6936DFD9">
      <w:pPr>
        <w:pStyle w:val="930"/>
        <w:numPr>
          <w:ilvl w:val="0"/>
          <w:numId w:val="21"/>
        </w:numPr>
        <w:pBdr/>
        <w:spacing w:after="0" w:before="0" w:line="276" w:lineRule="auto"/>
        <w:ind w:hanging="284" w:left="993"/>
        <w:contextualSpacing w:val="false"/>
        <w:rPr/>
      </w:pPr>
      <w:r>
        <w:t xml:space="preserve">Zwiększenie dostępności różnych form opieki i wsparcia osób starszych, w szczególności przewlekle chorujących.</w:t>
      </w:r>
      <w:r/>
    </w:p>
    <w:p w14:paraId="20AE3401">
      <w:pPr>
        <w:pStyle w:val="930"/>
        <w:numPr>
          <w:ilvl w:val="0"/>
          <w:numId w:val="21"/>
        </w:numPr>
        <w:pBdr/>
        <w:spacing w:after="60" w:before="0" w:line="276" w:lineRule="auto"/>
        <w:ind w:hanging="284" w:left="993"/>
        <w:contextualSpacing w:val="false"/>
        <w:rPr/>
      </w:pPr>
      <w:r>
        <w:t xml:space="preserve">Poprawa jakości życia osób starszych.</w:t>
      </w:r>
      <w:r/>
    </w:p>
    <w:p w14:paraId="3EA6C2EE">
      <w:pPr>
        <w:pStyle w:val="930"/>
        <w:numPr>
          <w:ilvl w:val="0"/>
          <w:numId w:val="18"/>
        </w:numPr>
        <w:pBdr/>
        <w:spacing w:after="60" w:before="0" w:line="276" w:lineRule="auto"/>
        <w:ind/>
        <w:contextualSpacing w:val="false"/>
        <w:rPr/>
      </w:pPr>
      <w:r>
        <w:t xml:space="preserve">Włączenie społeczne osób z niepełnosprawnościami oraz osób długotrwale chorujących, w szczególności psychicznie.</w:t>
      </w:r>
      <w:r/>
    </w:p>
    <w:p w14:paraId="0689DF31">
      <w:pPr>
        <w:pStyle w:val="930"/>
        <w:numPr>
          <w:ilvl w:val="0"/>
          <w:numId w:val="22"/>
        </w:numPr>
        <w:pBdr/>
        <w:spacing w:after="0" w:before="0" w:line="276" w:lineRule="auto"/>
        <w:ind w:hanging="284" w:left="993"/>
        <w:contextualSpacing w:val="false"/>
        <w:rPr/>
      </w:pPr>
      <w:r>
        <w:t xml:space="preserve">Zapewnienie możliwości rozwoju aktywności społecznej, zawodowej oraz edukacyjnej osób niepełnosprawnościami.</w:t>
      </w:r>
      <w:r/>
    </w:p>
    <w:p w14:paraId="03D8AB77">
      <w:pPr>
        <w:pStyle w:val="930"/>
        <w:numPr>
          <w:ilvl w:val="0"/>
          <w:numId w:val="22"/>
        </w:numPr>
        <w:pBdr/>
        <w:spacing w:after="0" w:before="0" w:line="276" w:lineRule="auto"/>
        <w:ind w:hanging="284" w:left="993"/>
        <w:contextualSpacing w:val="false"/>
        <w:rPr/>
      </w:pPr>
      <w:r>
        <w:t xml:space="preserve">Zwiększenie dostępu do różnych form opieki i wsparcia dla osób o ograniczonej samodzielności.</w:t>
      </w:r>
      <w:r/>
    </w:p>
    <w:p w14:paraId="232F4BB7">
      <w:pPr>
        <w:pBdr/>
        <w:spacing w:after="0" w:before="0" w:line="276" w:lineRule="auto"/>
        <w:ind/>
        <w:contextualSpacing w:val="false"/>
        <w:rPr/>
      </w:pPr>
      <w:r/>
      <w:r/>
    </w:p>
    <w:p w14:paraId="63C6CC8F">
      <w:pPr>
        <w:pBdr/>
        <w:spacing w:after="0" w:before="0" w:line="276" w:lineRule="auto"/>
        <w:ind/>
        <w:contextualSpacing w:val="false"/>
        <w:rPr/>
      </w:pPr>
      <w:r/>
      <w:r/>
    </w:p>
    <w:p w14:paraId="07543023">
      <w:pPr>
        <w:pBdr/>
        <w:spacing w:after="0" w:before="0" w:line="276" w:lineRule="auto"/>
        <w:ind/>
        <w:contextualSpacing w:val="false"/>
        <w:rPr/>
      </w:pPr>
      <w:r>
        <w:rPr>
          <w:highlight w:val="none"/>
        </w:rPr>
      </w:r>
      <w:r>
        <w:rPr>
          <w:highlight w:val="none"/>
        </w:rPr>
      </w:r>
      <w:r/>
    </w:p>
    <w:p w14:paraId="30C9946B">
      <w:pPr>
        <w:pStyle w:val="930"/>
        <w:numPr>
          <w:ilvl w:val="0"/>
          <w:numId w:val="22"/>
        </w:numPr>
        <w:pBdr/>
        <w:spacing w:after="60" w:before="0" w:line="276" w:lineRule="auto"/>
        <w:ind w:hanging="284" w:left="993"/>
        <w:contextualSpacing w:val="false"/>
        <w:rPr/>
      </w:pPr>
      <w:r>
        <w:t xml:space="preserve">Przeciwdziałanie wykluczeniu społecznemu osób z niepełnosprawnościami.</w:t>
      </w:r>
      <w:r/>
    </w:p>
    <w:p w14:paraId="2FE9F239">
      <w:pPr>
        <w:pStyle w:val="930"/>
        <w:numPr>
          <w:ilvl w:val="0"/>
          <w:numId w:val="18"/>
        </w:numPr>
        <w:pBdr/>
        <w:spacing w:after="60" w:before="0" w:line="276" w:lineRule="auto"/>
        <w:ind/>
        <w:contextualSpacing w:val="false"/>
        <w:rPr/>
      </w:pPr>
      <w:r>
        <w:t xml:space="preserve">Zmniejszenie zagrożenia mieszkańców różnymi dysfunkcjami społecznymi, w szczególności przemocą domową i uzależnieniami.</w:t>
      </w:r>
      <w:r/>
    </w:p>
    <w:p w14:paraId="6BEB1BE9">
      <w:pPr>
        <w:pStyle w:val="930"/>
        <w:numPr>
          <w:ilvl w:val="0"/>
          <w:numId w:val="23"/>
        </w:numPr>
        <w:pBdr/>
        <w:spacing w:after="0" w:before="0" w:line="276" w:lineRule="auto"/>
        <w:ind w:hanging="284" w:left="993"/>
        <w:contextualSpacing w:val="false"/>
        <w:rPr/>
      </w:pPr>
      <w:r>
        <w:t xml:space="preserve">Zwiększenie świadomości społecznej w obszarze dysfunkcji.</w:t>
      </w:r>
      <w:r/>
    </w:p>
    <w:p w14:paraId="30E374E9">
      <w:pPr>
        <w:pStyle w:val="930"/>
        <w:numPr>
          <w:ilvl w:val="0"/>
          <w:numId w:val="23"/>
        </w:numPr>
        <w:pBdr/>
        <w:spacing w:after="0" w:before="0" w:line="276" w:lineRule="auto"/>
        <w:ind w:hanging="284" w:left="993"/>
        <w:contextualSpacing w:val="false"/>
        <w:rPr/>
      </w:pPr>
      <w:r>
        <w:t xml:space="preserve">Wzmocnienie oddziaływań profilaktycznych, prewencyjnych i kompensacyjnych w obszarze dysfunkcji społecznych.</w:t>
      </w:r>
      <w:r/>
    </w:p>
    <w:p w14:paraId="5D73830C">
      <w:pPr>
        <w:pStyle w:val="930"/>
        <w:numPr>
          <w:ilvl w:val="0"/>
          <w:numId w:val="23"/>
        </w:numPr>
        <w:pBdr/>
        <w:spacing w:after="60" w:before="0" w:line="276" w:lineRule="auto"/>
        <w:ind w:hanging="284" w:left="993"/>
        <w:contextualSpacing w:val="false"/>
        <w:rPr/>
      </w:pPr>
      <w:r>
        <w:t xml:space="preserve">Zwiększenie dostępu osób i rodzin do pomocy specjalistycznej w zakresie przemocy domowej i uzależnień.</w:t>
      </w:r>
      <w:r/>
    </w:p>
    <w:p w14:paraId="420BC15F">
      <w:pPr>
        <w:pStyle w:val="930"/>
        <w:numPr>
          <w:ilvl w:val="0"/>
          <w:numId w:val="18"/>
        </w:numPr>
        <w:pBdr/>
        <w:spacing w:after="60" w:before="0" w:line="276" w:lineRule="auto"/>
        <w:ind/>
        <w:contextualSpacing w:val="true"/>
        <w:rPr>
          <w:bCs/>
        </w:rPr>
      </w:pPr>
      <w:r>
        <w:rPr>
          <w:bCs/>
        </w:rPr>
        <w:t xml:space="preserve">Wspieranie rozwoju wspólnoty lokalnej, upowszechniania idei samorządowej oraz pobudzania aktywności obywatelskiej, w tym poprzez rozwój ekonomii społecznej.</w:t>
      </w:r>
      <w:r>
        <w:rPr>
          <w:bCs/>
        </w:rPr>
      </w:r>
      <w:r>
        <w:rPr>
          <w:bCs/>
        </w:rPr>
      </w:r>
    </w:p>
    <w:p w14:paraId="7D58C3C4">
      <w:pPr>
        <w:pStyle w:val="930"/>
        <w:numPr>
          <w:ilvl w:val="0"/>
          <w:numId w:val="24"/>
        </w:numPr>
        <w:pBdr/>
        <w:spacing w:after="0" w:before="0" w:line="276" w:lineRule="auto"/>
        <w:ind w:hanging="284" w:left="993"/>
        <w:contextualSpacing w:val="true"/>
        <w:rPr>
          <w:bCs/>
        </w:rPr>
      </w:pPr>
      <w:r>
        <w:rPr>
          <w:bCs/>
        </w:rPr>
        <w:t xml:space="preserve">Zwiększenie znaczenia ekonomii społecznej w gminie.</w:t>
      </w:r>
      <w:r>
        <w:rPr>
          <w:bCs/>
        </w:rPr>
      </w:r>
      <w:r>
        <w:rPr>
          <w:bCs/>
        </w:rPr>
      </w:r>
    </w:p>
    <w:p w14:paraId="1B2AC048">
      <w:pPr>
        <w:pStyle w:val="930"/>
        <w:numPr>
          <w:ilvl w:val="0"/>
          <w:numId w:val="24"/>
        </w:numPr>
        <w:pBdr/>
        <w:spacing w:after="0" w:before="0" w:line="276" w:lineRule="auto"/>
        <w:ind w:hanging="284" w:left="993"/>
        <w:contextualSpacing w:val="true"/>
        <w:rPr/>
      </w:pPr>
      <w:r>
        <w:t xml:space="preserve">Tworzenie sprzyjających partycypacji obywatelskiej, integracji i aktywności mieszkańców.</w:t>
      </w:r>
      <w:r/>
    </w:p>
    <w:p w14:paraId="7C6ADF34">
      <w:pPr>
        <w:pStyle w:val="930"/>
        <w:numPr>
          <w:ilvl w:val="0"/>
          <w:numId w:val="24"/>
        </w:numPr>
        <w:pBdr/>
        <w:spacing w:after="60" w:before="0" w:line="276" w:lineRule="auto"/>
        <w:ind w:hanging="284" w:left="993"/>
        <w:contextualSpacing w:val="true"/>
        <w:rPr>
          <w:bCs/>
        </w:rPr>
      </w:pPr>
      <w:r>
        <w:rPr>
          <w:bCs/>
        </w:rPr>
        <w:t xml:space="preserve">Rozwój współpracy międzyinstytucjonalnej oraz współpracy z mieszkańcami i ich organizacjami na rzecz dobra wspólnego.</w:t>
      </w:r>
      <w:r>
        <w:rPr>
          <w:bCs/>
        </w:rPr>
      </w:r>
      <w:r>
        <w:rPr>
          <w:bCs/>
        </w:rPr>
      </w:r>
    </w:p>
    <w:p w14:paraId="6924F51C">
      <w:pPr>
        <w:pStyle w:val="845"/>
        <w:pBdr/>
        <w:spacing w:after="60" w:before="0" w:line="276" w:lineRule="auto"/>
        <w:ind/>
        <w:jc w:val="both"/>
        <w:rPr>
          <w:highlight w:val="yellow"/>
        </w:rPr>
      </w:pPr>
      <w:r>
        <w:t xml:space="preserve">Cele i działania</w:t>
      </w:r>
      <w:r>
        <w:t xml:space="preserve"> Strategii odnoszą się do procesu deinstytucjonalizacji i rozwoju usług społecznych, w tym w szczególności dla rodzin z dziećmi, osób starszych, osób </w:t>
        <w:br/>
        <w:t xml:space="preserve">z niepełnosprawnościami. Podejmowane działania mają służyć poprawie jakości życia wszystkich mieszkańców.</w:t>
      </w:r>
      <w:r>
        <w:rPr>
          <w:highlight w:val="yellow"/>
        </w:rPr>
      </w:r>
      <w:r>
        <w:rPr>
          <w:highlight w:val="yellow"/>
        </w:rPr>
      </w:r>
    </w:p>
    <w:p w14:paraId="065A2D26">
      <w:pPr>
        <w:pStyle w:val="846"/>
        <w:pBdr/>
        <w:spacing/>
        <w:ind/>
        <w:jc w:val="both"/>
        <w:rPr/>
      </w:pPr>
      <w:r/>
      <w:bookmarkStart w:id="3" w:name="_Toc226230120"/>
      <w:r>
        <w:t xml:space="preserve">2. Diagnoza obszaru rozwoju usług społecznych w świetle danych</w:t>
      </w:r>
      <w:bookmarkEnd w:id="3"/>
      <w:r/>
      <w:r/>
    </w:p>
    <w:p w14:paraId="5D555764">
      <w:pPr>
        <w:pStyle w:val="847"/>
        <w:pBdr/>
        <w:spacing/>
        <w:ind/>
        <w:rPr/>
      </w:pPr>
      <w:r/>
      <w:bookmarkStart w:id="4" w:name="_Toc226230121"/>
      <w:r>
        <w:t xml:space="preserve">2.1. Ogólna sytuacja społeczna gminy</w:t>
      </w:r>
      <w:bookmarkEnd w:id="4"/>
      <w:r/>
      <w:r/>
    </w:p>
    <w:p w14:paraId="29CF7CE5">
      <w:pPr>
        <w:pStyle w:val="845"/>
        <w:pBdr/>
        <w:spacing w:after="120" w:before="0" w:line="276" w:lineRule="auto"/>
        <w:ind/>
        <w:jc w:val="both"/>
        <w:rPr>
          <w:rFonts w:ascii="Calibri" w:hAnsi="Calibri" w:eastAsia="Calibri" w:cs="Calibri"/>
          <w:highlight w:val="none"/>
          <w14:ligatures w14:val="none"/>
        </w:rPr>
      </w:pPr>
      <w:r>
        <w:rPr>
          <w:rFonts w:eastAsia="Calibri" w:cs="Calibri"/>
          <w14:ligatures w14:val="none"/>
        </w:rPr>
        <w:t xml:space="preserve">Według informacji z Rejestru Mieszkańców w Gminie Braniewo w końcu 2025 roku zameldowanych było 5 609 osób. W świetle danych Głównego Urzędu Statystycznego w 2024 roku</w:t>
      </w:r>
      <w:r>
        <w:rPr>
          <w:rStyle w:val="877"/>
          <w:rFonts w:eastAsia="Calibri" w:cs="Calibri"/>
          <w14:ligatures w14:val="none"/>
        </w:rPr>
        <w:footnoteReference w:id="3"/>
      </w:r>
      <w:r>
        <w:rPr>
          <w:rFonts w:eastAsia="Calibri" w:cs="Calibri"/>
          <w14:ligatures w14:val="none"/>
        </w:rPr>
        <w:t xml:space="preserve"> faktycznie zamieszkiwały tu 5 364 osoby, co oznacza spadek w porównaniu do 2022 roku o 92 osoby, tj. o 1,7%. </w:t>
      </w:r>
      <w:r>
        <w:rPr>
          <w:rFonts w:eastAsia="Calibri" w:cs="Times New Roman"/>
          <w14:ligatures w14:val="none"/>
        </w:rPr>
        <w:t xml:space="preserve">Struktura ludności gminy według płci wskazuje na przewagę mężczyzn, którzy w 2024 roku stanowili w niej 51,9%, podczas gdy kobiety 48,1%. </w:t>
      </w:r>
      <w:r>
        <w:rPr>
          <w:rFonts w:ascii="Calibri" w:hAnsi="Calibri" w:eastAsia="Calibri" w:cs="Calibri"/>
          <w14:ligatures w14:val="none"/>
        </w:rPr>
      </w:r>
      <w:r>
        <w:rPr>
          <w:rFonts w:ascii="Calibri" w:hAnsi="Calibri" w:eastAsia="Calibri" w:cs="Calibri"/>
          <w:highlight w:val="none"/>
          <w14:ligatures w14:val="none"/>
        </w:rPr>
      </w:r>
    </w:p>
    <w:p w14:paraId="770022D5">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1137D527">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11F1A6EF">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65E8B8CA">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546C5640">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4B4F92F5">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0E5CE222">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3D3C94F0">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2D7E093C">
      <w:pPr>
        <w:pStyle w:val="845"/>
        <w:pBdr/>
        <w:spacing w:after="120" w:before="0" w:line="276" w:lineRule="auto"/>
        <w:ind/>
        <w:jc w:val="both"/>
        <w:rPr>
          <w:rFonts w:ascii="Calibri" w:hAnsi="Calibri" w:eastAsia="Calibri" w:cs="Calibri"/>
          <w14:ligatures w14:val="none"/>
        </w:rPr>
      </w:pPr>
      <w:r>
        <w:rPr>
          <w:rFonts w:ascii="Calibri" w:hAnsi="Calibri" w:eastAsia="Calibri" w:cs="Calibri"/>
          <w14:ligatures w14:val="none"/>
        </w:rPr>
      </w:r>
      <w:r>
        <w:rPr>
          <w:rFonts w:ascii="Calibri" w:hAnsi="Calibri" w:eastAsia="Calibri" w:cs="Calibri"/>
          <w14:ligatures w14:val="none"/>
        </w:rPr>
      </w:r>
      <w:r>
        <w:rPr>
          <w:rFonts w:ascii="Calibri" w:hAnsi="Calibri" w:eastAsia="Calibri" w:cs="Calibri"/>
          <w14:ligatures w14:val="none"/>
        </w:rPr>
      </w:r>
    </w:p>
    <w:p w14:paraId="75D340FC">
      <w:pPr>
        <w:pStyle w:val="845"/>
        <w:pBdr/>
        <w:spacing w:after="120" w:before="0" w:line="276" w:lineRule="auto"/>
        <w:ind/>
        <w:jc w:val="both"/>
        <w:rPr>
          <w:rFonts w:ascii="Calibri" w:hAnsi="Calibri" w:eastAsia="Calibri" w:cs="Calibri"/>
          <w14:ligatures w14:val="none"/>
        </w:rPr>
      </w:pPr>
      <w:r>
        <w:rPr>
          <w:rFonts w:ascii="Calibri" w:hAnsi="Calibri" w:eastAsia="Calibri" w:cs="Calibri"/>
          <w:highlight w:val="none"/>
          <w14:ligatures w14:val="none"/>
        </w:rPr>
      </w:r>
      <w:r>
        <w:rPr>
          <w:rFonts w:ascii="Calibri" w:hAnsi="Calibri" w:eastAsia="Calibri" w:cs="Calibri"/>
          <w:highlight w:val="none"/>
          <w14:ligatures w14:val="none"/>
        </w:rPr>
      </w:r>
      <w:r>
        <w:rPr>
          <w:rFonts w:ascii="Calibri" w:hAnsi="Calibri" w:eastAsia="Calibri" w:cs="Calibri"/>
          <w14:ligatures w14:val="none"/>
        </w:rPr>
      </w:r>
    </w:p>
    <w:p w14:paraId="18CCE89E">
      <w:pPr>
        <w:pStyle w:val="845"/>
        <w:pBdr/>
        <w:spacing w:after="120" w:before="240" w:line="240" w:lineRule="auto"/>
        <w:ind/>
        <w:jc w:val="center"/>
        <w:rPr>
          <w:rFonts w:ascii="Calibri" w:hAnsi="Calibri" w:eastAsia="Calibri" w:cs="Times New Roman"/>
          <w:b/>
          <w:iCs/>
          <w:sz w:val="20"/>
          <w:szCs w:val="18"/>
          <w14:ligatures w14:val="none"/>
        </w:rPr>
      </w:pPr>
      <w:r/>
      <w:bookmarkStart w:id="5" w:name="_Toc195992079"/>
      <w:r>
        <w:rPr>
          <w:rFonts w:eastAsia="Calibri" w:cs="Times New Roman"/>
          <w:b/>
          <w:iCs/>
          <w:sz w:val="20"/>
          <w:szCs w:val="18"/>
          <w14:ligatures w14:val="none"/>
        </w:rPr>
        <w:t xml:space="preserve">Wykres </w:t>
      </w:r>
      <w:r>
        <w:rPr>
          <w:rFonts w:eastAsia="Calibri" w:cs="Times New Roman"/>
          <w:b/>
          <w:iCs/>
          <w:sz w:val="20"/>
          <w:szCs w:val="18"/>
          <w14:ligatures w14:val="none"/>
        </w:rPr>
        <w:fldChar w:fldCharType="begin"/>
      </w:r>
      <w:r>
        <w:rPr>
          <w:rFonts w:eastAsia="Calibri" w:cs="Times New Roman"/>
          <w:b/>
          <w:iCs/>
          <w:sz w:val="20"/>
          <w:szCs w:val="18"/>
        </w:rPr>
        <w:instrText xml:space="preserve"> SEQ Wykres \* ARABIC </w:instrText>
      </w:r>
      <w:r>
        <w:rPr>
          <w:rFonts w:eastAsia="Calibri" w:cs="Times New Roman"/>
          <w:b/>
          <w:iCs/>
          <w:sz w:val="20"/>
          <w:szCs w:val="18"/>
        </w:rPr>
        <w:fldChar w:fldCharType="separate"/>
      </w:r>
      <w:r>
        <w:rPr>
          <w:rFonts w:eastAsia="Calibri" w:cs="Times New Roman"/>
          <w:b/>
          <w:iCs/>
          <w:sz w:val="20"/>
          <w:szCs w:val="18"/>
        </w:rPr>
        <w:t xml:space="preserve">1</w:t>
      </w:r>
      <w:r>
        <w:rPr>
          <w:rFonts w:eastAsia="Calibri" w:cs="Times New Roman"/>
          <w:b/>
          <w:iCs/>
          <w:sz w:val="20"/>
          <w:szCs w:val="18"/>
        </w:rPr>
        <w:fldChar w:fldCharType="end"/>
      </w:r>
      <w:r>
        <w:rPr>
          <w:rFonts w:eastAsia="Calibri" w:cs="Times New Roman"/>
          <w:b/>
          <w:iCs/>
          <w:sz w:val="20"/>
          <w:szCs w:val="18"/>
          <w14:ligatures w14:val="none"/>
        </w:rPr>
        <w:t xml:space="preserve">. Zmiany liczby ludności Gminy Braniewo w latach 2022-202</w:t>
      </w:r>
      <w:bookmarkEnd w:id="5"/>
      <w:r>
        <w:rPr>
          <w:rFonts w:eastAsia="Calibri" w:cs="Times New Roman"/>
          <w:b/>
          <w:iCs/>
          <w:sz w:val="20"/>
          <w:szCs w:val="18"/>
          <w14:ligatures w14:val="none"/>
        </w:rPr>
        <w:t xml:space="preserve">4</w:t>
      </w:r>
      <w:r>
        <w:rPr>
          <w:rFonts w:ascii="Calibri" w:hAnsi="Calibri" w:eastAsia="Calibri" w:cs="Times New Roman"/>
          <w:b/>
          <w:iCs/>
          <w:sz w:val="20"/>
          <w:szCs w:val="18"/>
          <w14:ligatures w14:val="none"/>
        </w:rPr>
      </w:r>
      <w:r>
        <w:rPr>
          <w:rFonts w:ascii="Calibri" w:hAnsi="Calibri" w:eastAsia="Calibri" w:cs="Times New Roman"/>
          <w:b/>
          <w:iCs/>
          <w:sz w:val="20"/>
          <w:szCs w:val="18"/>
          <w14:ligatures w14:val="none"/>
        </w:rPr>
      </w:r>
    </w:p>
    <w:p w14:paraId="36851A22">
      <w:pPr>
        <w:pStyle w:val="845"/>
        <w:pBdr/>
        <w:spacing w:after="120" w:before="0" w:line="240" w:lineRule="auto"/>
        <w:ind/>
        <w:rPr>
          <w:rFonts w:ascii="Calibri" w:hAnsi="Calibri" w:eastAsia="Calibri" w:cs="Times New Roman"/>
          <w14:ligatures w14:val="none"/>
        </w:rPr>
      </w:pPr>
      <w:r>
        <w:drawing>
          <wp:inline distT="0" distB="0" distL="0" distR="0">
            <wp:extent cx="5753100" cy="2255520"/>
            <wp:effectExtent l="0" t="0" r="0" b="0"/>
            <wp:docPr id="2"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Calibri" w:hAnsi="Calibri" w:eastAsia="Calibri" w:cs="Times New Roman"/>
          <w14:ligatures w14:val="none"/>
        </w:rPr>
      </w:r>
      <w:r>
        <w:rPr>
          <w:rFonts w:ascii="Calibri" w:hAnsi="Calibri" w:eastAsia="Calibri" w:cs="Times New Roman"/>
          <w14:ligatures w14:val="none"/>
        </w:rPr>
      </w:r>
    </w:p>
    <w:p w14:paraId="12D8B8DF">
      <w:pPr>
        <w:pStyle w:val="845"/>
        <w:pBdr/>
        <w:spacing w:after="120" w:before="240" w:line="240" w:lineRule="auto"/>
        <w:ind/>
        <w:jc w:val="left"/>
        <w:rPr>
          <w:rFonts w:ascii="Calibri" w:hAnsi="Calibri" w:eastAsia="Calibri" w:cs="Times New Roman"/>
          <w:iCs/>
          <w:smallCaps/>
          <w:color w:val="000000"/>
          <w:sz w:val="20"/>
          <w:szCs w:val="18"/>
          <w14:ligatures w14:val="none"/>
        </w:rPr>
      </w:pPr>
      <w:r>
        <w:rPr>
          <w:rFonts w:eastAsia="Calibri" w:cs="Times New Roman"/>
          <w:iCs/>
          <w:smallCaps/>
          <w:color w:val="000000"/>
          <w:sz w:val="20"/>
          <w:szCs w:val="18"/>
          <w14:ligatures w14:val="none"/>
        </w:rPr>
        <w:t xml:space="preserve">Źródło: opracowanie własne na podstawie danych BDL GUS.</w:t>
      </w:r>
      <w:r>
        <w:rPr>
          <w:rFonts w:ascii="Calibri" w:hAnsi="Calibri" w:eastAsia="Calibri" w:cs="Times New Roman"/>
          <w:iCs/>
          <w:smallCaps/>
          <w:color w:val="000000"/>
          <w:sz w:val="20"/>
          <w:szCs w:val="18"/>
          <w14:ligatures w14:val="none"/>
        </w:rPr>
      </w:r>
      <w:r>
        <w:rPr>
          <w:rFonts w:ascii="Calibri" w:hAnsi="Calibri" w:eastAsia="Calibri" w:cs="Times New Roman"/>
          <w:iCs/>
          <w:smallCaps/>
          <w:color w:val="000000"/>
          <w:sz w:val="20"/>
          <w:szCs w:val="18"/>
          <w14:ligatures w14:val="none"/>
        </w:rPr>
      </w:r>
    </w:p>
    <w:p w14:paraId="7F3FD1F1">
      <w:pPr>
        <w:pStyle w:val="845"/>
        <w:pBdr/>
        <w:spacing w:after="120" w:before="0" w:line="276" w:lineRule="auto"/>
        <w:ind/>
        <w:jc w:val="both"/>
        <w:rPr>
          <w:rFonts w:ascii="Calibri" w:hAnsi="Calibri" w:eastAsia="Calibri" w:cs="Times New Roman"/>
          <w14:ligatures w14:val="none"/>
        </w:rPr>
      </w:pPr>
      <w:r>
        <w:rPr>
          <w:rFonts w:eastAsia="Calibri" w:cs="Times New Roman"/>
          <w14:ligatures w14:val="none"/>
        </w:rPr>
        <w:t xml:space="preserve">Na zmniejszenie s</w:t>
      </w:r>
      <w:r>
        <w:rPr>
          <w:rFonts w:eastAsia="Calibri" w:cs="Times New Roman"/>
          <w14:ligatures w14:val="none"/>
        </w:rPr>
        <w:t xml:space="preserve">ię liczby ludności gminy wpłynął zarówno ujemny przyrost naturalny, jak </w:t>
        <w:br/>
        <w:t xml:space="preserve">i ujemne saldo migracji. W 2024 roku przyrost naturalny wyniósł -29 osób. W tym czasie liczba urodzeń żywych ukształtowała się na poziomie 31, natomiast liczba zgonów na poziomie 60. </w:t>
      </w:r>
      <w:r>
        <w:rPr>
          <w:rFonts w:ascii="Calibri" w:hAnsi="Calibri" w:eastAsia="Calibri" w:cs="Times New Roman"/>
          <w14:ligatures w14:val="none"/>
        </w:rPr>
      </w:r>
      <w:r>
        <w:rPr>
          <w:rFonts w:ascii="Calibri" w:hAnsi="Calibri" w:eastAsia="Calibri" w:cs="Times New Roman"/>
          <w14:ligatures w14:val="none"/>
        </w:rPr>
      </w:r>
    </w:p>
    <w:p w14:paraId="41195059">
      <w:pPr>
        <w:pStyle w:val="845"/>
        <w:pBdr/>
        <w:spacing w:after="120" w:before="240" w:line="240" w:lineRule="auto"/>
        <w:ind/>
        <w:jc w:val="center"/>
        <w:rPr>
          <w:rFonts w:ascii="Calibri" w:hAnsi="Calibri" w:eastAsia="Calibri" w:cs="Times New Roman"/>
          <w:b/>
          <w:iCs/>
          <w:sz w:val="20"/>
          <w:szCs w:val="18"/>
          <w14:ligatures w14:val="none"/>
        </w:rPr>
      </w:pPr>
      <w:r/>
      <w:bookmarkStart w:id="6" w:name="_Toc195992060"/>
      <w:r>
        <w:rPr>
          <w:rFonts w:eastAsia="Calibri" w:cs="Times New Roman"/>
          <w:b/>
          <w:iCs/>
          <w:sz w:val="20"/>
          <w:szCs w:val="18"/>
          <w14:ligatures w14:val="none"/>
        </w:rPr>
        <w:t xml:space="preserve">Tabela </w:t>
      </w:r>
      <w:r>
        <w:rPr>
          <w:rFonts w:eastAsia="Calibri" w:cs="Times New Roman"/>
          <w:b/>
          <w:iCs/>
          <w:sz w:val="20"/>
          <w:szCs w:val="18"/>
          <w14:ligatures w14:val="none"/>
        </w:rPr>
        <w:fldChar w:fldCharType="begin"/>
      </w:r>
      <w:r>
        <w:rPr>
          <w:rFonts w:eastAsia="Calibri" w:cs="Times New Roman"/>
          <w:b/>
          <w:iCs/>
          <w:sz w:val="20"/>
          <w:szCs w:val="18"/>
        </w:rPr>
        <w:instrText xml:space="preserve"> SEQ Tabela \* ARABIC </w:instrText>
      </w:r>
      <w:r>
        <w:rPr>
          <w:rFonts w:eastAsia="Calibri" w:cs="Times New Roman"/>
          <w:b/>
          <w:iCs/>
          <w:sz w:val="20"/>
          <w:szCs w:val="18"/>
        </w:rPr>
        <w:fldChar w:fldCharType="separate"/>
      </w:r>
      <w:r>
        <w:rPr>
          <w:rFonts w:eastAsia="Calibri" w:cs="Times New Roman"/>
          <w:b/>
          <w:iCs/>
          <w:sz w:val="20"/>
          <w:szCs w:val="18"/>
        </w:rPr>
        <w:t xml:space="preserve">1</w:t>
      </w:r>
      <w:r>
        <w:rPr>
          <w:rFonts w:eastAsia="Calibri" w:cs="Times New Roman"/>
          <w:b/>
          <w:iCs/>
          <w:sz w:val="20"/>
          <w:szCs w:val="18"/>
        </w:rPr>
        <w:fldChar w:fldCharType="end"/>
      </w:r>
      <w:r>
        <w:rPr>
          <w:rFonts w:eastAsia="Calibri" w:cs="Times New Roman"/>
          <w:b/>
          <w:iCs/>
          <w:sz w:val="20"/>
          <w:szCs w:val="18"/>
          <w14:ligatures w14:val="none"/>
        </w:rPr>
        <w:t xml:space="preserve">. Wybrane dane dotyczące ruchu naturalnego i migracji ludności Gminy Braniewo</w:t>
        <w:br/>
        <w:t xml:space="preserve">w latach 2022-202</w:t>
      </w:r>
      <w:bookmarkEnd w:id="6"/>
      <w:r>
        <w:rPr>
          <w:rFonts w:eastAsia="Calibri" w:cs="Times New Roman"/>
          <w:b/>
          <w:iCs/>
          <w:sz w:val="20"/>
          <w:szCs w:val="18"/>
          <w14:ligatures w14:val="none"/>
        </w:rPr>
        <w:t xml:space="preserve">4</w:t>
      </w:r>
      <w:r>
        <w:rPr>
          <w:rFonts w:ascii="Calibri" w:hAnsi="Calibri" w:eastAsia="Calibri" w:cs="Times New Roman"/>
          <w:b/>
          <w:iCs/>
          <w:sz w:val="20"/>
          <w:szCs w:val="18"/>
          <w14:ligatures w14:val="none"/>
        </w:rPr>
      </w:r>
      <w:r>
        <w:rPr>
          <w:rFonts w:ascii="Calibri" w:hAnsi="Calibri" w:eastAsia="Calibri" w:cs="Times New Roman"/>
          <w:b/>
          <w:iCs/>
          <w:sz w:val="20"/>
          <w:szCs w:val="18"/>
          <w14:ligatures w14:val="none"/>
        </w:rPr>
      </w:r>
    </w:p>
    <w:tbl>
      <w:tblPr>
        <w:tblStyle w:val="1065"/>
        <w:jc w:val="center"/>
        <w:tblInd w:w="0" w:type="dxa"/>
        <w:tblW w:w="8805" w:type="dxa"/>
        <w:tblCellMar>
          <w:left w:w="108" w:type="dxa"/>
          <w:top w:w="0" w:type="dxa"/>
          <w:right w:w="108" w:type="dxa"/>
          <w:bottom w:w="0" w:type="dxa"/>
        </w:tblCellMar>
        <w:tblBorders/>
        <w:tblLayout w:type="fixed"/>
        <w:tblLook w:val="04A0" w:firstRow="1" w:lastRow="0" w:firstColumn="1" w:lastColumn="0" w:noHBand="0" w:noVBand="1"/>
      </w:tblPr>
      <w:tblGrid>
        <w:gridCol w:w="4869"/>
        <w:gridCol w:w="1312"/>
        <w:gridCol w:w="1312"/>
        <w:gridCol w:w="1312"/>
      </w:tblGrid>
      <w:tr>
        <w:trPr>
          <w:trHeight w:val="415"/>
        </w:trPr>
        <w:tc>
          <w:tcPr>
            <w:shd w:val="clear" w:color="ffffff" w:fill="e2efd9"/>
            <w:tcBorders/>
            <w:tcW w:w="4869" w:type="dxa"/>
            <w:vAlign w:val="center"/>
          </w:tcPr>
          <w:p w14:paraId="7CF70047">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Wyszczególnienie</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1312" w:type="dxa"/>
            <w:vAlign w:val="center"/>
          </w:tcPr>
          <w:p w14:paraId="5C636CD6">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2022</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1312" w:type="dxa"/>
            <w:vAlign w:val="center"/>
          </w:tcPr>
          <w:p w14:paraId="13A50ADF">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2023</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1312" w:type="dxa"/>
            <w:vAlign w:val="center"/>
          </w:tcPr>
          <w:p w14:paraId="0DE95519">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2024</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r>
      <w:tr>
        <w:trPr>
          <w:trHeight w:val="415"/>
        </w:trPr>
        <w:tc>
          <w:tcPr>
            <w:tcBorders/>
            <w:tcW w:w="4869" w:type="dxa"/>
            <w:vAlign w:val="center"/>
          </w:tcPr>
          <w:p w14:paraId="047153E6">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Urodzenia żywe </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16E53717">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40</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39BF5815">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38</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4DEBEF65">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31</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15"/>
        </w:trPr>
        <w:tc>
          <w:tcPr>
            <w:tcBorders/>
            <w:tcW w:w="4869" w:type="dxa"/>
            <w:vAlign w:val="center"/>
          </w:tcPr>
          <w:p w14:paraId="6B9FF83B">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Zgony</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75E65845">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66</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4D4781A9">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43</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35F7BCD6">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60</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15"/>
        </w:trPr>
        <w:tc>
          <w:tcPr>
            <w:tcBorders/>
            <w:tcW w:w="4869" w:type="dxa"/>
            <w:vAlign w:val="center"/>
          </w:tcPr>
          <w:p w14:paraId="5CBEABEA">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Przyrost naturalny</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52E86031">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-26</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6DF2EE77">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-5</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1312" w:type="dxa"/>
            <w:vAlign w:val="center"/>
          </w:tcPr>
          <w:p w14:paraId="648B1488">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-29</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15"/>
        </w:trPr>
        <w:tc>
          <w:tcPr>
            <w:tcBorders/>
            <w:tcW w:w="4869" w:type="dxa"/>
            <w:vAlign w:val="center"/>
          </w:tcPr>
          <w:p w14:paraId="1F385B04">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Zameldowania</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3099740E">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80</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5CC64433">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49</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676B1C23">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82</w:t>
            </w:r>
            <w:r>
              <w:rPr>
                <w:rFonts w:ascii="Calibri" w:hAnsi="Calibri" w:eastAsia="Calibri" w:cs="Times New Roman"/>
                <w:sz w:val="20"/>
                <w:szCs w:val="18"/>
              </w:rPr>
            </w:r>
            <w:r>
              <w:rPr>
                <w:rFonts w:ascii="Calibri" w:hAnsi="Calibri" w:eastAsia="Calibri" w:cs="Times New Roman"/>
                <w:sz w:val="20"/>
                <w:szCs w:val="18"/>
              </w:rPr>
            </w:r>
          </w:p>
        </w:tc>
      </w:tr>
      <w:tr>
        <w:trPr>
          <w:trHeight w:val="415"/>
        </w:trPr>
        <w:tc>
          <w:tcPr>
            <w:tcBorders/>
            <w:tcW w:w="4869" w:type="dxa"/>
            <w:vAlign w:val="center"/>
          </w:tcPr>
          <w:p w14:paraId="707C3CC3">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Wymeldowania</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4C6E5890">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88</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1C9F1370">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91</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497392E7">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100</w:t>
            </w:r>
            <w:r>
              <w:rPr>
                <w:rFonts w:ascii="Calibri" w:hAnsi="Calibri" w:eastAsia="Calibri" w:cs="Times New Roman"/>
                <w:sz w:val="20"/>
                <w:szCs w:val="18"/>
              </w:rPr>
            </w:r>
            <w:r>
              <w:rPr>
                <w:rFonts w:ascii="Calibri" w:hAnsi="Calibri" w:eastAsia="Calibri" w:cs="Times New Roman"/>
                <w:sz w:val="20"/>
                <w:szCs w:val="18"/>
              </w:rPr>
            </w:r>
          </w:p>
        </w:tc>
      </w:tr>
      <w:tr>
        <w:trPr>
          <w:trHeight w:val="415"/>
        </w:trPr>
        <w:tc>
          <w:tcPr>
            <w:tcBorders/>
            <w:tcW w:w="4869" w:type="dxa"/>
            <w:vAlign w:val="center"/>
          </w:tcPr>
          <w:p w14:paraId="21679BB3">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Saldo migracji</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1312" w:type="dxa"/>
            <w:vAlign w:val="center"/>
          </w:tcPr>
          <w:p w14:paraId="536A24D9">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-8</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4B6EBC7A">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-42</w:t>
            </w:r>
            <w:r>
              <w:rPr>
                <w:rFonts w:ascii="Calibri" w:hAnsi="Calibri" w:eastAsia="Calibri" w:cs="Times New Roman"/>
                <w:sz w:val="20"/>
                <w:szCs w:val="18"/>
              </w:rPr>
            </w:r>
            <w:r>
              <w:rPr>
                <w:rFonts w:ascii="Calibri" w:hAnsi="Calibri" w:eastAsia="Calibri" w:cs="Times New Roman"/>
                <w:sz w:val="20"/>
                <w:szCs w:val="18"/>
              </w:rPr>
            </w:r>
          </w:p>
        </w:tc>
        <w:tc>
          <w:tcPr>
            <w:tcBorders/>
            <w:tcW w:w="1312" w:type="dxa"/>
            <w:vAlign w:val="center"/>
          </w:tcPr>
          <w:p w14:paraId="0D6CB47B">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-18</w:t>
            </w:r>
            <w:r>
              <w:rPr>
                <w:rFonts w:ascii="Calibri" w:hAnsi="Calibri" w:eastAsia="Calibri" w:cs="Times New Roman"/>
                <w:sz w:val="20"/>
                <w:szCs w:val="18"/>
              </w:rPr>
            </w:r>
            <w:r>
              <w:rPr>
                <w:rFonts w:ascii="Calibri" w:hAnsi="Calibri" w:eastAsia="Calibri" w:cs="Times New Roman"/>
                <w:sz w:val="20"/>
                <w:szCs w:val="18"/>
              </w:rPr>
            </w:r>
          </w:p>
        </w:tc>
      </w:tr>
    </w:tbl>
    <w:p w14:paraId="717A930F">
      <w:pPr>
        <w:pStyle w:val="845"/>
        <w:pBdr/>
        <w:spacing w:after="120" w:before="60" w:line="240" w:lineRule="auto"/>
        <w:ind/>
        <w:jc w:val="left"/>
        <w:rPr>
          <w:rFonts w:ascii="Calibri" w:hAnsi="Calibri" w:eastAsia="Calibri" w:cs="Times New Roman"/>
          <w:iCs/>
          <w:smallCaps/>
          <w:color w:val="000000"/>
          <w:sz w:val="20"/>
          <w:szCs w:val="18"/>
          <w14:ligatures w14:val="none"/>
        </w:rPr>
      </w:pPr>
      <w:r>
        <w:rPr>
          <w:rFonts w:eastAsia="Calibri" w:cs="Times New Roman"/>
          <w:iCs/>
          <w:smallCaps/>
          <w:color w:val="000000"/>
          <w:sz w:val="20"/>
          <w:szCs w:val="18"/>
          <w14:ligatures w14:val="none"/>
        </w:rPr>
        <w:t xml:space="preserve">Źródło: opracowanie własne na podstawie danych BDL GUS.</w:t>
      </w:r>
      <w:r>
        <w:rPr>
          <w:rFonts w:ascii="Calibri" w:hAnsi="Calibri" w:eastAsia="Calibri" w:cs="Times New Roman"/>
          <w:iCs/>
          <w:smallCaps/>
          <w:color w:val="000000"/>
          <w:sz w:val="20"/>
          <w:szCs w:val="18"/>
          <w14:ligatures w14:val="none"/>
        </w:rPr>
      </w:r>
      <w:r>
        <w:rPr>
          <w:rFonts w:ascii="Calibri" w:hAnsi="Calibri" w:eastAsia="Calibri" w:cs="Times New Roman"/>
          <w:iCs/>
          <w:smallCaps/>
          <w:color w:val="000000"/>
          <w:sz w:val="20"/>
          <w:szCs w:val="18"/>
          <w14:ligatures w14:val="none"/>
        </w:rPr>
      </w:r>
    </w:p>
    <w:p w14:paraId="32845F9D">
      <w:pPr>
        <w:pStyle w:val="845"/>
        <w:pBdr/>
        <w:spacing w:after="120" w:before="0" w:line="276" w:lineRule="auto"/>
        <w:ind/>
        <w:jc w:val="both"/>
        <w:rPr>
          <w:rFonts w:ascii="Calibri" w:hAnsi="Calibri" w:eastAsia="Calibri" w:cs="Times New Roman"/>
          <w:b/>
          <w:smallCaps/>
          <w:color w:val="000000"/>
          <w:sz w:val="20"/>
          <w14:ligatures w14:val="none"/>
        </w:rPr>
      </w:pPr>
      <w:r>
        <w:rPr>
          <w:rFonts w:eastAsia="Calibri" w:cs="Times New Roman"/>
          <w14:ligatures w14:val="none"/>
        </w:rPr>
        <w:t xml:space="preserve">Podobne znaczenie dla zmian liczby ludności gminy w 2024 roku miała skala migr</w:t>
      </w:r>
      <w:r>
        <w:rPr>
          <w:rFonts w:eastAsia="Calibri" w:cs="Times New Roman"/>
          <w14:ligatures w14:val="none"/>
        </w:rPr>
        <w:t xml:space="preserve">acji gminnych na pobyt stały. W 2024 roku z gminy wymeldowało się 100 osób, natomiast zameldowało się 82 nowych mieszkańców. Saldo migracji wyniosło -18, co oznacza, że o tyle spadła liczba osób faktycznie zamieszkujących Gminę Braniewo w wyniku migracji. </w:t>
      </w:r>
      <w:r>
        <w:rPr>
          <w:rFonts w:ascii="Calibri" w:hAnsi="Calibri" w:eastAsia="Calibri" w:cs="Times New Roman"/>
          <w:b/>
          <w:smallCaps/>
          <w:color w:val="000000"/>
          <w:sz w:val="20"/>
          <w14:ligatures w14:val="none"/>
        </w:rPr>
      </w:r>
      <w:r>
        <w:rPr>
          <w:rFonts w:ascii="Calibri" w:hAnsi="Calibri" w:eastAsia="Calibri" w:cs="Times New Roman"/>
          <w:b/>
          <w:smallCaps/>
          <w:color w:val="000000"/>
          <w:sz w:val="20"/>
          <w14:ligatures w14:val="none"/>
        </w:rPr>
      </w:r>
    </w:p>
    <w:p w14:paraId="4B52B111">
      <w:pPr>
        <w:pStyle w:val="845"/>
        <w:pBdr/>
        <w:spacing w:after="0" w:before="0" w:line="276" w:lineRule="auto"/>
        <w:ind/>
        <w:jc w:val="both"/>
        <w:rPr>
          <w:rFonts w:ascii="Calibri" w:hAnsi="Calibri" w:eastAsia="Calibri" w:cs="Times New Roman"/>
          <w14:ligatures w14:val="none"/>
        </w:rPr>
      </w:pPr>
      <w:r>
        <w:rPr>
          <w:rFonts w:eastAsia="Calibri" w:cs="Times New Roman"/>
          <w14:ligatures w14:val="none"/>
        </w:rPr>
        <w:t xml:space="preserve">Społeczeństwo Gminy Braniewo wykazuje cechy </w:t>
      </w:r>
      <w:r>
        <w:rPr>
          <w:rFonts w:eastAsia="Calibri" w:cs="Times New Roman"/>
          <w:i/>
          <w14:ligatures w14:val="none"/>
        </w:rPr>
        <w:t xml:space="preserve">starzenia się</w:t>
      </w:r>
      <w:r>
        <w:rPr>
          <w:rFonts w:eastAsia="Calibri" w:cs="Times New Roman"/>
          <w14:ligatures w14:val="none"/>
        </w:rPr>
        <w:t xml:space="preserve">. W latach 2022-2024 można zaobserwować:</w:t>
      </w:r>
      <w:r>
        <w:rPr>
          <w:rFonts w:ascii="Calibri" w:hAnsi="Calibri" w:eastAsia="Calibri" w:cs="Times New Roman"/>
          <w14:ligatures w14:val="none"/>
        </w:rPr>
      </w:r>
      <w:r>
        <w:rPr>
          <w:rFonts w:ascii="Calibri" w:hAnsi="Calibri" w:eastAsia="Calibri" w:cs="Times New Roman"/>
          <w14:ligatures w14:val="none"/>
        </w:rPr>
      </w:r>
    </w:p>
    <w:p w14:paraId="3908CB81">
      <w:pPr>
        <w:pStyle w:val="845"/>
        <w:numPr>
          <w:ilvl w:val="0"/>
          <w:numId w:val="12"/>
        </w:numPr>
        <w:pBdr/>
        <w:spacing w:after="0" w:before="0" w:line="276" w:lineRule="auto"/>
        <w:ind/>
        <w:rPr>
          <w:rFonts w:ascii="Calibri" w:hAnsi="Calibri" w:eastAsia="Calibri" w:cs="Times New Roman"/>
          <w14:ligatures w14:val="none"/>
        </w:rPr>
      </w:pPr>
      <w:r>
        <w:rPr>
          <w:rFonts w:eastAsia="Calibri" w:cs="Times New Roman"/>
          <w14:ligatures w14:val="none"/>
        </w:rPr>
        <w:t xml:space="preserve">spadek odsetka osób w wieku przedprodukcyjnym, a więc dzieci i młodzieży do 17 roku życia – z 17,9% w 2022 roku do 17,0% w 2024 roku;</w:t>
      </w:r>
      <w:r>
        <w:rPr>
          <w:rFonts w:ascii="Calibri" w:hAnsi="Calibri" w:eastAsia="Calibri" w:cs="Times New Roman"/>
          <w14:ligatures w14:val="none"/>
        </w:rPr>
      </w:r>
      <w:r>
        <w:rPr>
          <w:rFonts w:ascii="Calibri" w:hAnsi="Calibri" w:eastAsia="Calibri" w:cs="Times New Roman"/>
          <w14:ligatures w14:val="none"/>
        </w:rPr>
      </w:r>
    </w:p>
    <w:p w14:paraId="3562F38E">
      <w:pPr>
        <w:pStyle w:val="845"/>
        <w:numPr>
          <w:ilvl w:val="0"/>
          <w:numId w:val="12"/>
        </w:numPr>
        <w:pBdr/>
        <w:spacing w:after="0" w:before="0" w:line="276" w:lineRule="auto"/>
        <w:ind/>
        <w:rPr>
          <w:rFonts w:ascii="Calibri" w:hAnsi="Calibri" w:eastAsia="Calibri" w:cs="Times New Roman"/>
          <w14:ligatures w14:val="none"/>
        </w:rPr>
      </w:pPr>
      <w:r>
        <w:rPr>
          <w:rFonts w:eastAsia="Calibri" w:cs="Times New Roman"/>
          <w14:ligatures w14:val="none"/>
        </w:rPr>
        <w:t xml:space="preserve">spadek odsetka osób w wieku produkcyjnym (mężczyźni 18-64 lata, kobiety 18-59 lat) – z 62,6% do 61,6%;</w:t>
      </w:r>
      <w:r>
        <w:rPr>
          <w:rFonts w:ascii="Calibri" w:hAnsi="Calibri" w:eastAsia="Calibri" w:cs="Times New Roman"/>
          <w14:ligatures w14:val="none"/>
        </w:rPr>
      </w:r>
      <w:r>
        <w:rPr>
          <w:rFonts w:ascii="Calibri" w:hAnsi="Calibri" w:eastAsia="Calibri" w:cs="Times New Roman"/>
          <w14:ligatures w14:val="none"/>
        </w:rPr>
      </w:r>
    </w:p>
    <w:p w14:paraId="2AD3044D">
      <w:pPr>
        <w:pStyle w:val="845"/>
        <w:numPr>
          <w:ilvl w:val="0"/>
          <w:numId w:val="12"/>
        </w:numPr>
        <w:pBdr/>
        <w:spacing w:after="60" w:before="0" w:line="276" w:lineRule="auto"/>
        <w:ind/>
        <w:rPr>
          <w:rFonts w:ascii="Calibri" w:hAnsi="Calibri" w:eastAsia="Calibri" w:cs="Times New Roman"/>
          <w14:ligatures w14:val="none"/>
        </w:rPr>
      </w:pPr>
      <w:r>
        <w:rPr>
          <w:rFonts w:eastAsia="Calibri" w:cs="Times New Roman"/>
          <w14:ligatures w14:val="none"/>
        </w:rPr>
        <w:t xml:space="preserve">wzrost odsetka osób w poprodukcyjnym okresie życia (mężczyźni 65 lat i więcej, kobiety od 60 lat wzwyż) – z 19,5% do 21,4%. </w:t>
      </w:r>
      <w:r>
        <w:rPr>
          <w:rFonts w:ascii="Calibri" w:hAnsi="Calibri" w:eastAsia="Calibri" w:cs="Times New Roman"/>
          <w14:ligatures w14:val="none"/>
        </w:rPr>
      </w:r>
      <w:r>
        <w:rPr>
          <w:rFonts w:ascii="Calibri" w:hAnsi="Calibri" w:eastAsia="Calibri" w:cs="Times New Roman"/>
          <w14:ligatures w14:val="none"/>
        </w:rPr>
      </w:r>
    </w:p>
    <w:p w14:paraId="268C8F0E">
      <w:pPr>
        <w:pStyle w:val="845"/>
        <w:pBdr/>
        <w:spacing w:after="120" w:before="0" w:line="276" w:lineRule="auto"/>
        <w:ind/>
        <w:rPr>
          <w:rFonts w:eastAsia="Calibri" w:cs="Times New Roman"/>
          <w:highlight w:val="none"/>
          <w14:ligatures w14:val="none"/>
        </w:rPr>
      </w:pPr>
      <w:r>
        <w:rPr>
          <w:rFonts w:eastAsia="Calibri" w:cs="Times New Roman"/>
          <w:highlight w:val="none"/>
          <w14:ligatures w14:val="none"/>
        </w:rPr>
      </w:r>
      <w:r>
        <w:rPr>
          <w:rFonts w:eastAsia="Calibri" w:cs="Times New Roman"/>
          <w:highlight w:val="none"/>
          <w14:ligatures w14:val="none"/>
        </w:rPr>
      </w:r>
      <w:r>
        <w:rPr>
          <w:rFonts w:eastAsia="Calibri" w:cs="Times New Roman"/>
          <w:highlight w:val="none"/>
          <w14:ligatures w14:val="none"/>
        </w:rPr>
      </w:r>
    </w:p>
    <w:p w14:paraId="593F968D">
      <w:pPr>
        <w:pStyle w:val="845"/>
        <w:pBdr/>
        <w:spacing w:after="120" w:before="0" w:line="276" w:lineRule="auto"/>
        <w:ind/>
        <w:jc w:val="both"/>
        <w:rPr>
          <w:rFonts w:eastAsia="Calibri" w:cs="Times New Roman"/>
          <w:highlight w:val="none"/>
          <w14:ligatures w14:val="none"/>
        </w:rPr>
      </w:pPr>
      <w:r>
        <w:rPr>
          <w:rFonts w:eastAsia="Calibri" w:cs="Times New Roman"/>
          <w14:ligatures w14:val="none"/>
        </w:rPr>
        <w:t xml:space="preserve">Powyższe dane wskazują na postępujący proces. Aktualnie ponad jedna piąta mieszkańców gminy jest aktualnie w wieku poprodukcyjnym, a odsetek ten będzie rosnąć w najbliższych latach.</w:t>
      </w:r>
      <w:r>
        <w:rPr>
          <w:rFonts w:ascii="Calibri" w:hAnsi="Calibri" w:eastAsia="Calibri" w:cs="Times New Roman"/>
          <w14:ligatures w14:val="none"/>
        </w:rPr>
      </w:r>
      <w:r>
        <w:rPr>
          <w:rFonts w:eastAsia="Calibri" w:cs="Times New Roman"/>
          <w:highlight w:val="none"/>
          <w14:ligatures w14:val="none"/>
        </w:rPr>
      </w:r>
    </w:p>
    <w:p w14:paraId="76CB050A">
      <w:pPr>
        <w:pStyle w:val="845"/>
        <w:pBdr/>
        <w:spacing w:after="120" w:before="0" w:line="276" w:lineRule="auto"/>
        <w:ind/>
        <w:jc w:val="both"/>
        <w:rPr>
          <w:rFonts w:ascii="Calibri" w:hAnsi="Calibri" w:eastAsia="Calibri" w:cs="Times New Roman"/>
          <w14:ligatures w14:val="none"/>
        </w:rPr>
      </w:pPr>
      <w:r/>
      <w:bookmarkStart w:id="7" w:name="_1511272311"/>
      <w:r/>
      <w:bookmarkEnd w:id="7"/>
      <w:r>
        <w:rPr>
          <w:rFonts w:eastAsia="Calibri" w:cs="Times New Roman"/>
          <w14:ligatures w14:val="none"/>
        </w:rPr>
        <w:t xml:space="preserve">Zjawisko </w:t>
      </w:r>
      <w:r>
        <w:rPr>
          <w:rFonts w:eastAsia="Calibri" w:cs="Times New Roman"/>
          <w:i/>
          <w14:ligatures w14:val="none"/>
        </w:rPr>
        <w:t xml:space="preserve">starzenia się </w:t>
      </w:r>
      <w:r>
        <w:rPr>
          <w:rFonts w:eastAsia="Calibri" w:cs="Times New Roman"/>
          <w14:ligatures w14:val="none"/>
        </w:rPr>
        <w:t xml:space="preserve">społeczeństwa potwierdzają wartości wskaźników obciążenia demograficznego ludności gminy w latach 2022-2024. W 2024 roku na 100 osób w wieku produkcyjnym w Gmini</w:t>
      </w:r>
      <w:r>
        <w:rPr>
          <w:rFonts w:eastAsia="Calibri" w:cs="Times New Roman"/>
          <w14:ligatures w14:val="none"/>
        </w:rPr>
        <w:t xml:space="preserve">e Braniewo przypadało 34,7 osób w wieku poprodukcyjnym i 62,3 osób w wieku nieprodukcyjnym. Na 100 osób w wieku przedprodukcyjnym natomiast było 126,0 osób w wieku poprodukcyjnym. Odsetek osób w wieku 65 lat i więcej w populacji ogółem kształtował się na p</w:t>
      </w:r>
      <w:r>
        <w:rPr>
          <w:rFonts w:eastAsia="Calibri" w:cs="Times New Roman"/>
          <w14:ligatures w14:val="none"/>
        </w:rPr>
        <w:t xml:space="preserve">oziomie 17,7%. Warto zaznaczyć przy tym ostatnim wskaźniku, że </w:t>
        <w:br/>
        <w:t xml:space="preserve">w przypadku mężczyzn był niższy i wynosił 15,0%, podczas gdy w przypadku kobiet – 20,6%. Jest to konsekwencja trendu demograficznego polegającego na tym, że kobiety żyją dłużej niż mężczyźni. </w:t>
      </w:r>
      <w:r>
        <w:rPr>
          <w:rFonts w:ascii="Calibri" w:hAnsi="Calibri" w:eastAsia="Calibri" w:cs="Times New Roman"/>
          <w14:ligatures w14:val="none"/>
        </w:rPr>
      </w:r>
      <w:r>
        <w:rPr>
          <w:rFonts w:ascii="Calibri" w:hAnsi="Calibri" w:eastAsia="Calibri" w:cs="Times New Roman"/>
          <w14:ligatures w14:val="none"/>
        </w:rPr>
      </w:r>
    </w:p>
    <w:p w14:paraId="144BB477">
      <w:pPr>
        <w:pStyle w:val="845"/>
        <w:pBdr/>
        <w:spacing w:after="120" w:before="240" w:line="240" w:lineRule="auto"/>
        <w:ind/>
        <w:jc w:val="center"/>
        <w:rPr>
          <w:rFonts w:ascii="Calibri" w:hAnsi="Calibri" w:eastAsia="Calibri" w:cs="Times New Roman"/>
          <w:b/>
          <w:iCs/>
          <w:sz w:val="20"/>
          <w:szCs w:val="18"/>
          <w14:ligatures w14:val="none"/>
        </w:rPr>
      </w:pPr>
      <w:r/>
      <w:bookmarkStart w:id="8" w:name="_Toc195992061"/>
      <w:r>
        <w:rPr>
          <w:rFonts w:eastAsia="Calibri" w:cs="Times New Roman"/>
          <w:b/>
          <w:iCs/>
          <w:sz w:val="20"/>
          <w:szCs w:val="18"/>
          <w14:ligatures w14:val="none"/>
        </w:rPr>
        <w:t xml:space="preserve">Tabela </w:t>
      </w:r>
      <w:r>
        <w:rPr>
          <w:rFonts w:eastAsia="Calibri" w:cs="Times New Roman"/>
          <w:b/>
          <w:iCs/>
          <w:sz w:val="20"/>
          <w:szCs w:val="18"/>
          <w14:ligatures w14:val="none"/>
        </w:rPr>
        <w:fldChar w:fldCharType="begin"/>
      </w:r>
      <w:r>
        <w:rPr>
          <w:rFonts w:eastAsia="Calibri" w:cs="Times New Roman"/>
          <w:b/>
          <w:iCs/>
          <w:sz w:val="20"/>
          <w:szCs w:val="18"/>
        </w:rPr>
        <w:instrText xml:space="preserve"> SEQ Tabela \* ARABIC </w:instrText>
      </w:r>
      <w:r>
        <w:rPr>
          <w:rFonts w:eastAsia="Calibri" w:cs="Times New Roman"/>
          <w:b/>
          <w:iCs/>
          <w:sz w:val="20"/>
          <w:szCs w:val="18"/>
        </w:rPr>
        <w:fldChar w:fldCharType="separate"/>
      </w:r>
      <w:r>
        <w:rPr>
          <w:rFonts w:eastAsia="Calibri" w:cs="Times New Roman"/>
          <w:b/>
          <w:iCs/>
          <w:sz w:val="20"/>
          <w:szCs w:val="18"/>
        </w:rPr>
        <w:t xml:space="preserve">2</w:t>
      </w:r>
      <w:r>
        <w:rPr>
          <w:rFonts w:eastAsia="Calibri" w:cs="Times New Roman"/>
          <w:b/>
          <w:iCs/>
          <w:sz w:val="20"/>
          <w:szCs w:val="18"/>
        </w:rPr>
        <w:fldChar w:fldCharType="end"/>
      </w:r>
      <w:r>
        <w:rPr>
          <w:rFonts w:eastAsia="Calibri" w:cs="Times New Roman"/>
          <w:b/>
          <w:iCs/>
          <w:sz w:val="20"/>
          <w:szCs w:val="18"/>
          <w14:ligatures w14:val="none"/>
        </w:rPr>
        <w:t xml:space="preserve">. Wskaźniki obciążenia demograficznego ludności Gminy Braniewo w latach 2022-202</w:t>
      </w:r>
      <w:bookmarkEnd w:id="8"/>
      <w:r>
        <w:rPr>
          <w:rFonts w:eastAsia="Calibri" w:cs="Times New Roman"/>
          <w:b/>
          <w:iCs/>
          <w:sz w:val="20"/>
          <w:szCs w:val="18"/>
          <w14:ligatures w14:val="none"/>
        </w:rPr>
        <w:t xml:space="preserve">4</w:t>
      </w:r>
      <w:r>
        <w:rPr>
          <w:rFonts w:ascii="Calibri" w:hAnsi="Calibri" w:eastAsia="Calibri" w:cs="Times New Roman"/>
          <w:b/>
          <w:iCs/>
          <w:sz w:val="20"/>
          <w:szCs w:val="18"/>
          <w14:ligatures w14:val="none"/>
        </w:rPr>
      </w:r>
      <w:r>
        <w:rPr>
          <w:rFonts w:ascii="Calibri" w:hAnsi="Calibri" w:eastAsia="Calibri" w:cs="Times New Roman"/>
          <w:b/>
          <w:iCs/>
          <w:sz w:val="20"/>
          <w:szCs w:val="18"/>
          <w14:ligatures w14:val="none"/>
        </w:rPr>
      </w:r>
    </w:p>
    <w:tbl>
      <w:tblPr>
        <w:tblStyle w:val="1065"/>
        <w:jc w:val="center"/>
        <w:tblInd w:w="0" w:type="dxa"/>
        <w:tblW w:w="8892" w:type="dxa"/>
        <w:tblCellMar>
          <w:left w:w="108" w:type="dxa"/>
          <w:top w:w="0" w:type="dxa"/>
          <w:right w:w="108" w:type="dxa"/>
          <w:bottom w:w="0" w:type="dxa"/>
        </w:tblCellMar>
        <w:tblBorders/>
        <w:tblLayout w:type="fixed"/>
        <w:tblLook w:val="04A0" w:firstRow="1" w:lastRow="0" w:firstColumn="1" w:lastColumn="0" w:noHBand="0" w:noVBand="1"/>
      </w:tblPr>
      <w:tblGrid>
        <w:gridCol w:w="6714"/>
        <w:gridCol w:w="725"/>
        <w:gridCol w:w="727"/>
        <w:gridCol w:w="726"/>
      </w:tblGrid>
      <w:tr>
        <w:trPr>
          <w:trHeight w:val="605"/>
        </w:trPr>
        <w:tc>
          <w:tcPr>
            <w:shd w:val="clear" w:color="ffffff" w:fill="e2efd9"/>
            <w:tcBorders/>
            <w:tcW w:w="6714" w:type="dxa"/>
            <w:vAlign w:val="center"/>
          </w:tcPr>
          <w:p w14:paraId="2006CD3E">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Wyszczególnienie</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725" w:type="dxa"/>
            <w:vAlign w:val="center"/>
          </w:tcPr>
          <w:p w14:paraId="62C1949E">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2022</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727" w:type="dxa"/>
            <w:vAlign w:val="center"/>
          </w:tcPr>
          <w:p w14:paraId="3CB880BF">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2023</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c>
          <w:tcPr>
            <w:shd w:val="clear" w:color="ffffff" w:fill="e2efd9"/>
            <w:tcBorders/>
            <w:tcW w:w="726" w:type="dxa"/>
            <w:vAlign w:val="center"/>
          </w:tcPr>
          <w:p w14:paraId="5F3AFF08">
            <w:pPr>
              <w:pStyle w:val="845"/>
              <w:widowControl w:val="true"/>
              <w:pBdr/>
              <w:spacing w:after="0" w:before="0" w:line="240" w:lineRule="auto"/>
              <w:ind/>
              <w:jc w:val="center"/>
              <w:rPr>
                <w:rFonts w:ascii="Calibri" w:hAnsi="Calibri" w:eastAsia="Times New Roman" w:cs="Calibri"/>
                <w:b/>
                <w:bCs/>
                <w:color w:val="000000"/>
                <w:sz w:val="20"/>
                <w:lang w:eastAsia="pl-PL"/>
              </w:rPr>
            </w:pPr>
            <w:r>
              <w:rPr>
                <w:rFonts w:eastAsia="Times New Roman" w:cs="Calibri"/>
                <w:b/>
                <w:bCs/>
                <w:color w:val="000000"/>
                <w:sz w:val="20"/>
                <w:szCs w:val="22"/>
                <w:lang w:val="pl-PL" w:eastAsia="pl-PL" w:bidi="ar-SA"/>
              </w:rPr>
              <w:t xml:space="preserve">2024</w:t>
            </w:r>
            <w:r>
              <w:rPr>
                <w:rFonts w:ascii="Calibri" w:hAnsi="Calibri" w:eastAsia="Times New Roman" w:cs="Calibri"/>
                <w:b/>
                <w:bCs/>
                <w:color w:val="000000"/>
                <w:sz w:val="20"/>
                <w:lang w:eastAsia="pl-PL"/>
              </w:rPr>
            </w:r>
            <w:r>
              <w:rPr>
                <w:rFonts w:ascii="Calibri" w:hAnsi="Calibri" w:eastAsia="Times New Roman" w:cs="Calibri"/>
                <w:b/>
                <w:bCs/>
                <w:color w:val="000000"/>
                <w:sz w:val="20"/>
                <w:lang w:eastAsia="pl-PL"/>
              </w:rPr>
            </w:r>
          </w:p>
        </w:tc>
      </w:tr>
      <w:tr>
        <w:trPr>
          <w:trHeight w:val="519"/>
        </w:trPr>
        <w:tc>
          <w:tcPr>
            <w:tcBorders/>
            <w:tcW w:w="6714" w:type="dxa"/>
            <w:vAlign w:val="center"/>
          </w:tcPr>
          <w:p w14:paraId="4A99E09C">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Ludność w wieku nieprodukcyjnym na 100 osób w wieku produkcyjnym</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2A2BBD08">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59,9</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7" w:type="dxa"/>
            <w:vAlign w:val="center"/>
          </w:tcPr>
          <w:p w14:paraId="37CD4234">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60,7</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6" w:type="dxa"/>
            <w:vAlign w:val="center"/>
          </w:tcPr>
          <w:p w14:paraId="27B244C1">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62,3</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03"/>
        </w:trPr>
        <w:tc>
          <w:tcPr>
            <w:tcBorders/>
            <w:tcW w:w="6714" w:type="dxa"/>
            <w:vAlign w:val="center"/>
          </w:tcPr>
          <w:p w14:paraId="6AE9D8C4">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Ludność w wieku poprodukcyjnym na 100 osób w wieku przedprodukcyjnym</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2012AA31">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108,9</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7" w:type="dxa"/>
            <w:vAlign w:val="center"/>
          </w:tcPr>
          <w:p w14:paraId="5AA8523F">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118,1</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6" w:type="dxa"/>
            <w:vAlign w:val="center"/>
          </w:tcPr>
          <w:p w14:paraId="2603E72A">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126,0</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10"/>
        </w:trPr>
        <w:tc>
          <w:tcPr>
            <w:tcBorders/>
            <w:tcW w:w="6714" w:type="dxa"/>
            <w:vAlign w:val="center"/>
          </w:tcPr>
          <w:p w14:paraId="4DC57DE0">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Ludność w wieku poprodukcyjnym na 100 osób w wieku produkcyjnym</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3759AD5F">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31,2</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7" w:type="dxa"/>
            <w:vAlign w:val="center"/>
          </w:tcPr>
          <w:p w14:paraId="48918F70">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32,9</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c>
          <w:tcPr>
            <w:tcBorders/>
            <w:tcW w:w="726" w:type="dxa"/>
            <w:vAlign w:val="center"/>
          </w:tcPr>
          <w:p w14:paraId="293CB261">
            <w:pPr>
              <w:pStyle w:val="845"/>
              <w:widowControl w:val="true"/>
              <w:pBdr/>
              <w:spacing w:after="0" w:before="0" w:line="240" w:lineRule="auto"/>
              <w:ind/>
              <w:jc w:val="center"/>
              <w:rPr>
                <w:rFonts w:ascii="Calibri" w:hAnsi="Calibri" w:eastAsia="Times New Roman" w:cs="Calibri"/>
                <w:color w:val="000000"/>
                <w:sz w:val="20"/>
                <w:szCs w:val="18"/>
                <w:lang w:eastAsia="pl-PL"/>
              </w:rPr>
            </w:pPr>
            <w:r>
              <w:rPr>
                <w:rFonts w:eastAsia="Times New Roman" w:cs="Calibri"/>
                <w:color w:val="000000"/>
                <w:sz w:val="20"/>
                <w:szCs w:val="18"/>
                <w:lang w:val="pl-PL" w:eastAsia="pl-PL" w:bidi="ar-SA"/>
              </w:rPr>
              <w:t xml:space="preserve">34,7</w:t>
            </w:r>
            <w:r>
              <w:rPr>
                <w:rFonts w:ascii="Calibri" w:hAnsi="Calibri" w:eastAsia="Times New Roman" w:cs="Calibri"/>
                <w:color w:val="000000"/>
                <w:sz w:val="20"/>
                <w:szCs w:val="18"/>
                <w:lang w:eastAsia="pl-PL"/>
              </w:rPr>
            </w:r>
            <w:r>
              <w:rPr>
                <w:rFonts w:ascii="Calibri" w:hAnsi="Calibri" w:eastAsia="Times New Roman" w:cs="Calibri"/>
                <w:color w:val="000000"/>
                <w:sz w:val="20"/>
                <w:szCs w:val="18"/>
                <w:lang w:eastAsia="pl-PL"/>
              </w:rPr>
            </w:r>
          </w:p>
        </w:tc>
      </w:tr>
      <w:tr>
        <w:trPr>
          <w:trHeight w:val="475"/>
        </w:trPr>
        <w:tc>
          <w:tcPr>
            <w:tcBorders/>
            <w:tcW w:w="6714" w:type="dxa"/>
            <w:vAlign w:val="center"/>
          </w:tcPr>
          <w:p w14:paraId="0F4F5BE0">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Odsetek osób w wieku 65 lat i więcej w populacji ogółem</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6FCECCC2">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15,7</w:t>
            </w:r>
            <w:r>
              <w:rPr>
                <w:rFonts w:ascii="Calibri" w:hAnsi="Calibri" w:eastAsia="Calibri" w:cs="Times New Roman"/>
                <w:sz w:val="20"/>
                <w:szCs w:val="18"/>
              </w:rPr>
            </w:r>
            <w:r>
              <w:rPr>
                <w:rFonts w:ascii="Calibri" w:hAnsi="Calibri" w:eastAsia="Calibri" w:cs="Times New Roman"/>
                <w:sz w:val="20"/>
                <w:szCs w:val="18"/>
              </w:rPr>
            </w:r>
          </w:p>
        </w:tc>
        <w:tc>
          <w:tcPr>
            <w:tcBorders/>
            <w:tcW w:w="727" w:type="dxa"/>
            <w:vAlign w:val="center"/>
          </w:tcPr>
          <w:p w14:paraId="68BD2C2F">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16,8</w:t>
            </w:r>
            <w:r>
              <w:rPr>
                <w:rFonts w:ascii="Calibri" w:hAnsi="Calibri" w:eastAsia="Calibri" w:cs="Times New Roman"/>
                <w:sz w:val="20"/>
                <w:szCs w:val="18"/>
              </w:rPr>
            </w:r>
            <w:r>
              <w:rPr>
                <w:rFonts w:ascii="Calibri" w:hAnsi="Calibri" w:eastAsia="Calibri" w:cs="Times New Roman"/>
                <w:sz w:val="20"/>
                <w:szCs w:val="18"/>
              </w:rPr>
            </w:r>
          </w:p>
        </w:tc>
        <w:tc>
          <w:tcPr>
            <w:tcBorders/>
            <w:tcW w:w="726" w:type="dxa"/>
            <w:vAlign w:val="center"/>
          </w:tcPr>
          <w:p w14:paraId="0A3BA203">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17,7</w:t>
            </w:r>
            <w:r>
              <w:rPr>
                <w:rFonts w:ascii="Calibri" w:hAnsi="Calibri" w:eastAsia="Calibri" w:cs="Times New Roman"/>
                <w:sz w:val="20"/>
                <w:szCs w:val="18"/>
              </w:rPr>
            </w:r>
            <w:r>
              <w:rPr>
                <w:rFonts w:ascii="Calibri" w:hAnsi="Calibri" w:eastAsia="Calibri" w:cs="Times New Roman"/>
                <w:sz w:val="20"/>
                <w:szCs w:val="18"/>
              </w:rPr>
            </w:r>
          </w:p>
        </w:tc>
      </w:tr>
      <w:tr>
        <w:trPr>
          <w:trHeight w:val="475"/>
        </w:trPr>
        <w:tc>
          <w:tcPr>
            <w:tcBorders/>
            <w:tcW w:w="6714" w:type="dxa"/>
            <w:vAlign w:val="center"/>
          </w:tcPr>
          <w:p w14:paraId="0763DD6E">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Odsetek osób w wieku 65 lat i więcej w populacji ogółem – mężczyźni</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68C4272F">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13,1</w:t>
            </w:r>
            <w:r>
              <w:rPr>
                <w:rFonts w:ascii="Calibri" w:hAnsi="Calibri" w:eastAsia="Calibri" w:cs="Times New Roman"/>
                <w:sz w:val="20"/>
                <w:szCs w:val="18"/>
              </w:rPr>
            </w:r>
            <w:r>
              <w:rPr>
                <w:rFonts w:ascii="Calibri" w:hAnsi="Calibri" w:eastAsia="Calibri" w:cs="Times New Roman"/>
                <w:sz w:val="20"/>
                <w:szCs w:val="18"/>
              </w:rPr>
            </w:r>
          </w:p>
        </w:tc>
        <w:tc>
          <w:tcPr>
            <w:tcBorders/>
            <w:tcW w:w="727" w:type="dxa"/>
            <w:vAlign w:val="center"/>
          </w:tcPr>
          <w:p w14:paraId="6F45151E">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13,8</w:t>
            </w:r>
            <w:r>
              <w:rPr>
                <w:rFonts w:ascii="Calibri" w:hAnsi="Calibri" w:eastAsia="Calibri" w:cs="Times New Roman"/>
                <w:sz w:val="20"/>
                <w:szCs w:val="18"/>
              </w:rPr>
            </w:r>
            <w:r>
              <w:rPr>
                <w:rFonts w:ascii="Calibri" w:hAnsi="Calibri" w:eastAsia="Calibri" w:cs="Times New Roman"/>
                <w:sz w:val="20"/>
                <w:szCs w:val="18"/>
              </w:rPr>
            </w:r>
          </w:p>
        </w:tc>
        <w:tc>
          <w:tcPr>
            <w:tcBorders/>
            <w:tcW w:w="726" w:type="dxa"/>
            <w:vAlign w:val="center"/>
          </w:tcPr>
          <w:p w14:paraId="1190801D">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15,0</w:t>
            </w:r>
            <w:r>
              <w:rPr>
                <w:rFonts w:ascii="Calibri" w:hAnsi="Calibri" w:eastAsia="Calibri" w:cs="Times New Roman"/>
                <w:sz w:val="20"/>
                <w:szCs w:val="18"/>
              </w:rPr>
            </w:r>
            <w:r>
              <w:rPr>
                <w:rFonts w:ascii="Calibri" w:hAnsi="Calibri" w:eastAsia="Calibri" w:cs="Times New Roman"/>
                <w:sz w:val="20"/>
                <w:szCs w:val="18"/>
              </w:rPr>
            </w:r>
          </w:p>
        </w:tc>
      </w:tr>
      <w:tr>
        <w:trPr>
          <w:trHeight w:val="475"/>
        </w:trPr>
        <w:tc>
          <w:tcPr>
            <w:tcBorders/>
            <w:tcW w:w="6714" w:type="dxa"/>
            <w:vAlign w:val="center"/>
          </w:tcPr>
          <w:p w14:paraId="344AC19F">
            <w:pPr>
              <w:pStyle w:val="845"/>
              <w:widowControl w:val="true"/>
              <w:pBdr/>
              <w:spacing w:after="0" w:before="0" w:line="240" w:lineRule="auto"/>
              <w:ind/>
              <w:jc w:val="left"/>
              <w:rPr>
                <w:rFonts w:ascii="Calibri" w:hAnsi="Calibri" w:eastAsia="Times New Roman" w:cs="Calibri"/>
                <w:color w:val="000000"/>
                <w:sz w:val="20"/>
                <w:lang w:eastAsia="pl-PL"/>
              </w:rPr>
            </w:pPr>
            <w:r>
              <w:rPr>
                <w:rFonts w:eastAsia="Times New Roman" w:cs="Calibri"/>
                <w:color w:val="000000"/>
                <w:sz w:val="20"/>
                <w:szCs w:val="22"/>
                <w:lang w:val="pl-PL" w:eastAsia="pl-PL" w:bidi="ar-SA"/>
              </w:rPr>
              <w:t xml:space="preserve">Odsetek osób w wieku 65 lat i więcej w populacji ogółem – kobiety </w:t>
            </w:r>
            <w:r>
              <w:rPr>
                <w:rFonts w:ascii="Calibri" w:hAnsi="Calibri" w:eastAsia="Times New Roman" w:cs="Calibri"/>
                <w:color w:val="000000"/>
                <w:sz w:val="20"/>
                <w:lang w:eastAsia="pl-PL"/>
              </w:rPr>
            </w:r>
            <w:r>
              <w:rPr>
                <w:rFonts w:ascii="Calibri" w:hAnsi="Calibri" w:eastAsia="Times New Roman" w:cs="Calibri"/>
                <w:color w:val="000000"/>
                <w:sz w:val="20"/>
                <w:lang w:eastAsia="pl-PL"/>
              </w:rPr>
            </w:r>
          </w:p>
        </w:tc>
        <w:tc>
          <w:tcPr>
            <w:tcBorders/>
            <w:tcW w:w="725" w:type="dxa"/>
            <w:vAlign w:val="center"/>
          </w:tcPr>
          <w:p w14:paraId="17043B38">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18,4</w:t>
            </w:r>
            <w:r>
              <w:rPr>
                <w:rFonts w:ascii="Calibri" w:hAnsi="Calibri" w:eastAsia="Calibri" w:cs="Times New Roman"/>
                <w:sz w:val="20"/>
                <w:szCs w:val="18"/>
              </w:rPr>
            </w:r>
            <w:r>
              <w:rPr>
                <w:rFonts w:ascii="Calibri" w:hAnsi="Calibri" w:eastAsia="Calibri" w:cs="Times New Roman"/>
                <w:sz w:val="20"/>
                <w:szCs w:val="18"/>
              </w:rPr>
            </w:r>
          </w:p>
        </w:tc>
        <w:tc>
          <w:tcPr>
            <w:tcBorders/>
            <w:tcW w:w="727" w:type="dxa"/>
            <w:vAlign w:val="center"/>
          </w:tcPr>
          <w:p w14:paraId="4D858291">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19,9</w:t>
            </w:r>
            <w:r>
              <w:rPr>
                <w:rFonts w:ascii="Calibri" w:hAnsi="Calibri" w:eastAsia="Calibri" w:cs="Times New Roman"/>
                <w:sz w:val="20"/>
                <w:szCs w:val="18"/>
              </w:rPr>
            </w:r>
            <w:r>
              <w:rPr>
                <w:rFonts w:ascii="Calibri" w:hAnsi="Calibri" w:eastAsia="Calibri" w:cs="Times New Roman"/>
                <w:sz w:val="20"/>
                <w:szCs w:val="18"/>
              </w:rPr>
            </w:r>
          </w:p>
        </w:tc>
        <w:tc>
          <w:tcPr>
            <w:tcBorders/>
            <w:tcW w:w="726" w:type="dxa"/>
            <w:vAlign w:val="center"/>
          </w:tcPr>
          <w:p w14:paraId="432E05E0">
            <w:pPr>
              <w:pStyle w:val="845"/>
              <w:widowControl w:val="true"/>
              <w:pBdr/>
              <w:spacing w:after="0" w:before="0" w:line="240" w:lineRule="auto"/>
              <w:ind/>
              <w:jc w:val="center"/>
              <w:rPr>
                <w:rFonts w:ascii="Calibri" w:hAnsi="Calibri" w:eastAsia="Calibri" w:cs="Times New Roman"/>
                <w:sz w:val="20"/>
                <w:szCs w:val="18"/>
              </w:rPr>
            </w:pPr>
            <w:r>
              <w:rPr>
                <w:rFonts w:eastAsia="Calibri" w:cs="Times New Roman"/>
                <w:sz w:val="20"/>
                <w:szCs w:val="18"/>
                <w:lang w:val="pl-PL" w:eastAsia="en-US" w:bidi="ar-SA"/>
              </w:rPr>
              <w:t xml:space="preserve">20,6</w:t>
            </w:r>
            <w:r>
              <w:rPr>
                <w:rFonts w:ascii="Calibri" w:hAnsi="Calibri" w:eastAsia="Calibri" w:cs="Times New Roman"/>
                <w:sz w:val="20"/>
                <w:szCs w:val="18"/>
              </w:rPr>
            </w:r>
            <w:r>
              <w:rPr>
                <w:rFonts w:ascii="Calibri" w:hAnsi="Calibri" w:eastAsia="Calibri" w:cs="Times New Roman"/>
                <w:sz w:val="20"/>
                <w:szCs w:val="18"/>
              </w:rPr>
            </w:r>
          </w:p>
        </w:tc>
      </w:tr>
    </w:tbl>
    <w:p w14:paraId="70EF539A">
      <w:pPr>
        <w:pStyle w:val="845"/>
        <w:pBdr/>
        <w:spacing w:after="120" w:before="60" w:line="240" w:lineRule="auto"/>
        <w:ind/>
        <w:jc w:val="left"/>
        <w:rPr>
          <w:rFonts w:ascii="Calibri" w:hAnsi="Calibri" w:eastAsia="Calibri" w:cs="Times New Roman"/>
          <w:iCs/>
          <w:smallCaps/>
          <w:color w:val="000000"/>
          <w:sz w:val="20"/>
          <w:szCs w:val="18"/>
          <w14:ligatures w14:val="none"/>
        </w:rPr>
      </w:pPr>
      <w:r>
        <w:rPr>
          <w:rFonts w:eastAsia="Calibri" w:cs="Times New Roman"/>
          <w:iCs/>
          <w:smallCaps/>
          <w:color w:val="000000"/>
          <w:sz w:val="20"/>
          <w:szCs w:val="18"/>
          <w14:ligatures w14:val="none"/>
        </w:rPr>
        <w:t xml:space="preserve">Źródło: opracowanie własne na podstawie danych BDL GUS.</w:t>
      </w:r>
      <w:r>
        <w:rPr>
          <w:rFonts w:ascii="Calibri" w:hAnsi="Calibri" w:eastAsia="Calibri" w:cs="Times New Roman"/>
          <w:iCs/>
          <w:smallCaps/>
          <w:color w:val="000000"/>
          <w:sz w:val="20"/>
          <w:szCs w:val="18"/>
          <w14:ligatures w14:val="none"/>
        </w:rPr>
      </w:r>
      <w:r>
        <w:rPr>
          <w:rFonts w:ascii="Calibri" w:hAnsi="Calibri" w:eastAsia="Calibri" w:cs="Times New Roman"/>
          <w:iCs/>
          <w:smallCaps/>
          <w:color w:val="000000"/>
          <w:sz w:val="20"/>
          <w:szCs w:val="18"/>
          <w14:ligatures w14:val="none"/>
        </w:rPr>
      </w:r>
    </w:p>
    <w:p w14:paraId="3C8F921E">
      <w:pPr>
        <w:pStyle w:val="845"/>
        <w:pBdr/>
        <w:spacing w:after="120" w:before="0" w:line="276" w:lineRule="auto"/>
        <w:ind/>
        <w:jc w:val="both"/>
        <w:rPr>
          <w:rFonts w:ascii="Calibri" w:hAnsi="Calibri" w:eastAsia="Calibri" w:cs="Times New Roman"/>
          <w14:ligatures w14:val="none"/>
        </w:rPr>
      </w:pPr>
      <w:r/>
      <w:bookmarkStart w:id="9" w:name="_Toc442789259"/>
      <w:r>
        <w:rPr>
          <w:rFonts w:eastAsia="Calibri" w:cs="Times New Roman"/>
          <w14:ligatures w14:val="none"/>
        </w:rPr>
        <w:t xml:space="preserve">W porównaniu do 2022 roku wszystkie te wskaźniki wzrosły. Dla przykładu wskaźnik liczby ludności w wieku poprodukcyjnym na 100 osób w wieku produkcyjnym wzrósł o 3,5 punktów, </w:t>
        <w:br/>
        <w:t xml:space="preserve">a odsetek osób w wieku 65 lat i więcej w populacji ogółem – o 2 punkty.</w:t>
      </w:r>
      <w:bookmarkEnd w:id="9"/>
      <w:r>
        <w:rPr>
          <w:rFonts w:ascii="Calibri" w:hAnsi="Calibri" w:eastAsia="Calibri" w:cs="Times New Roman"/>
          <w14:ligatures w14:val="none"/>
        </w:rPr>
      </w:r>
      <w:r>
        <w:rPr>
          <w:rFonts w:ascii="Calibri" w:hAnsi="Calibri" w:eastAsia="Calibri" w:cs="Times New Roman"/>
          <w14:ligatures w14:val="none"/>
        </w:rPr>
      </w:r>
    </w:p>
    <w:p w14:paraId="6E3E4944">
      <w:pPr>
        <w:pStyle w:val="845"/>
        <w:pBdr/>
        <w:spacing w:after="60" w:before="0" w:line="276" w:lineRule="auto"/>
        <w:ind/>
        <w:jc w:val="both"/>
        <w:rPr>
          <w:highlight w:val="none"/>
          <w14:ligatures w14:val="none"/>
        </w:rPr>
      </w:pPr>
      <w:r>
        <w:t xml:space="preserve">W ostatnich latach w Gminie Braniewo liczba rodzin i osób korzystających z pomocy społecznej zmniejszyła się. </w:t>
      </w:r>
      <w:r>
        <w:t xml:space="preserve">W 2025 roku świadczenie przyznano 217 osobom z 159 rodzin, w których funkcjonowało 367 osób. W porównaniu do 2023 roku liczba osób, które otrzymały świadczenia spadła o 71, liczba rodzin zmniejszyła się o 46, natomiast liczba osób w rodzinach spadła o 155.</w:t>
      </w:r>
      <w:r>
        <w:rPr>
          <w:highlight w:val="none"/>
          <w14:ligatures w14:val="none"/>
        </w:rPr>
      </w:r>
      <w:r>
        <w:rPr>
          <w:highlight w:val="none"/>
          <w14:ligatures w14:val="none"/>
        </w:rPr>
      </w:r>
    </w:p>
    <w:p w14:paraId="6BD4A5D1">
      <w:pPr>
        <w:pStyle w:val="908"/>
        <w:pBdr/>
        <w:spacing/>
        <w:ind/>
        <w:rPr>
          <w:b w:val="0"/>
          <w:bCs/>
        </w:rPr>
      </w:pPr>
      <w:r/>
      <w:bookmarkStart w:id="10" w:name="_Toc94466261"/>
      <w:r>
        <w:t xml:space="preserve">Tabela </w:t>
      </w:r>
      <w:r>
        <w:fldChar w:fldCharType="begin"/>
      </w:r>
      <w:r>
        <w:instrText xml:space="preserve"> SEQ Tabela \* ARABIC </w:instrText>
      </w:r>
      <w:r>
        <w:fldChar w:fldCharType="separate"/>
      </w:r>
      <w:r>
        <w:t xml:space="preserve">3</w:t>
      </w:r>
      <w:r>
        <w:fldChar w:fldCharType="end"/>
      </w:r>
      <w:r>
        <w:rPr>
          <w:bCs/>
        </w:rPr>
        <w:t xml:space="preserve">. Osoby i rodziny korzystające z pomocy społecznej w Gminie Braniewo w latach 2023-202</w:t>
      </w:r>
      <w:bookmarkEnd w:id="10"/>
      <w:r>
        <w:rPr>
          <w:bCs/>
        </w:rPr>
        <w:t xml:space="preserve">5</w:t>
      </w:r>
      <w:r>
        <w:rPr>
          <w:b w:val="0"/>
          <w:bCs/>
        </w:rPr>
      </w:r>
      <w:r>
        <w:rPr>
          <w:b w:val="0"/>
          <w:bCs/>
        </w:rPr>
      </w:r>
    </w:p>
    <w:tbl>
      <w:tblPr>
        <w:jc w:val="center"/>
        <w:tblInd w:w="0" w:type="dxa"/>
        <w:tblW w:w="8715" w:type="dxa"/>
        <w:tblCellMar>
          <w:left w:w="108" w:type="dxa"/>
          <w:top w:w="0" w:type="dxa"/>
          <w:right w:w="108" w:type="dxa"/>
          <w:bottom w:w="0" w:type="dxa"/>
        </w:tblCellMar>
        <w:tblBorders/>
        <w:tblLayout w:type="fixed"/>
        <w:tblLook w:val="04A0" w:firstRow="1" w:lastRow="0" w:firstColumn="1" w:lastColumn="0" w:noHBand="0" w:noVBand="1"/>
      </w:tblPr>
      <w:tblGrid>
        <w:gridCol w:w="5124"/>
        <w:gridCol w:w="1196"/>
        <w:gridCol w:w="1198"/>
        <w:gridCol w:w="1197"/>
      </w:tblGrid>
      <w:tr>
        <w:trPr>
          <w:trHeight w:val="387"/>
        </w:trPr>
        <w:tc>
          <w:tcPr>
            <w:shd w:val="clear" w:color="ffffff" w:fill="e2efd9" w:themeFill="accent6" w:themeFillTint="33"/>
            <w:tcBorders>
              <w:top w:val="single" w:color="bfbfbf" w:sz="4" w:space="0"/>
              <w:left w:val="single" w:color="bfbfbf" w:sz="4" w:space="0"/>
              <w:bottom w:val="single" w:color="bfbfbf" w:sz="4" w:space="0"/>
              <w:right w:val="single" w:color="bfbfbf" w:sz="4" w:space="0"/>
            </w:tcBorders>
            <w:tcW w:w="5124" w:type="dxa"/>
            <w:vAlign w:val="center"/>
          </w:tcPr>
          <w:p w14:paraId="60EBF425">
            <w:pPr>
              <w:pStyle w:val="845"/>
              <w:pBdr/>
              <w:spacing w:after="0" w:before="0"/>
              <w:ind/>
              <w:jc w:val="center"/>
              <w:rPr>
                <w:rFonts w:eastAsia="Times New Roman" w:cs="Calibri"/>
                <w:b/>
                <w:bCs/>
                <w:color w:val="000000"/>
                <w:sz w:val="20"/>
                <w:lang w:eastAsia="pl-PL"/>
              </w:rPr>
            </w:pPr>
            <w:r>
              <w:rPr>
                <w:rFonts w:eastAsia="Times New Roman" w:cs="Calibri"/>
                <w:b/>
                <w:bCs/>
                <w:color w:val="000000"/>
                <w:sz w:val="20"/>
                <w:lang w:eastAsia="pl-PL"/>
              </w:rPr>
              <w:t xml:space="preserve">Wyszczególnienie</w:t>
            </w:r>
            <w:r>
              <w:rPr>
                <w:rFonts w:eastAsia="Times New Roman" w:cs="Calibri"/>
                <w:b/>
                <w:bCs/>
                <w:color w:val="000000"/>
                <w:sz w:val="20"/>
                <w:lang w:eastAsia="pl-PL"/>
              </w:rPr>
            </w:r>
            <w:r>
              <w:rPr>
                <w:rFonts w:eastAsia="Times New Roman" w:cs="Calibri"/>
                <w:b/>
                <w:bCs/>
                <w:color w:val="000000"/>
                <w:sz w:val="20"/>
                <w:lang w:eastAsia="pl-PL"/>
              </w:rPr>
            </w:r>
          </w:p>
        </w:tc>
        <w:tc>
          <w:tcPr>
            <w:shd w:val="clear" w:color="ffffff" w:fill="e2efd9" w:themeFill="accent6" w:themeFillTint="33"/>
            <w:tcBorders>
              <w:top w:val="single" w:color="bfbfbf" w:sz="4" w:space="0"/>
              <w:left w:val="single" w:color="bfbfbf" w:sz="4" w:space="0"/>
              <w:bottom w:val="single" w:color="bfbfbf" w:sz="4" w:space="0"/>
              <w:right w:val="single" w:color="bfbfbf" w:sz="4" w:space="0"/>
            </w:tcBorders>
            <w:tcW w:w="1196" w:type="dxa"/>
            <w:vAlign w:val="center"/>
          </w:tcPr>
          <w:p w14:paraId="4EDEF9B3">
            <w:pPr>
              <w:pStyle w:val="845"/>
              <w:pBdr/>
              <w:spacing w:after="0" w:before="0"/>
              <w:ind/>
              <w:jc w:val="center"/>
              <w:rPr>
                <w:rFonts w:eastAsia="Times New Roman" w:cs="Calibri"/>
                <w:b/>
                <w:bCs/>
                <w:color w:val="000000"/>
                <w:sz w:val="20"/>
                <w:lang w:eastAsia="pl-PL"/>
              </w:rPr>
            </w:pPr>
            <w:r>
              <w:rPr>
                <w:rFonts w:eastAsia="Times New Roman" w:cs="Calibri"/>
                <w:b/>
                <w:bCs/>
                <w:color w:val="000000"/>
                <w:sz w:val="20"/>
                <w:lang w:eastAsia="pl-PL"/>
              </w:rPr>
              <w:t xml:space="preserve">2023</w:t>
            </w:r>
            <w:r>
              <w:rPr>
                <w:rFonts w:eastAsia="Times New Roman" w:cs="Calibri"/>
                <w:b/>
                <w:bCs/>
                <w:color w:val="000000"/>
                <w:sz w:val="20"/>
                <w:lang w:eastAsia="pl-PL"/>
              </w:rPr>
            </w:r>
            <w:r>
              <w:rPr>
                <w:rFonts w:eastAsia="Times New Roman" w:cs="Calibri"/>
                <w:b/>
                <w:bCs/>
                <w:color w:val="000000"/>
                <w:sz w:val="20"/>
                <w:lang w:eastAsia="pl-PL"/>
              </w:rPr>
            </w:r>
          </w:p>
        </w:tc>
        <w:tc>
          <w:tcPr>
            <w:shd w:val="clear" w:color="ffffff" w:fill="e2efd9" w:themeFill="accent6" w:themeFillTint="33"/>
            <w:tcBorders>
              <w:top w:val="single" w:color="bfbfbf" w:sz="4" w:space="0"/>
              <w:left w:val="single" w:color="bfbfbf" w:sz="4" w:space="0"/>
              <w:bottom w:val="single" w:color="bfbfbf" w:sz="4" w:space="0"/>
              <w:right w:val="single" w:color="bfbfbf" w:sz="4" w:space="0"/>
            </w:tcBorders>
            <w:tcW w:w="1198" w:type="dxa"/>
            <w:vAlign w:val="center"/>
          </w:tcPr>
          <w:p w14:paraId="3D56EE13">
            <w:pPr>
              <w:pStyle w:val="845"/>
              <w:pBdr/>
              <w:spacing w:after="0" w:before="0"/>
              <w:ind/>
              <w:jc w:val="center"/>
              <w:rPr>
                <w:rFonts w:eastAsia="Times New Roman" w:cs="Calibri"/>
                <w:b/>
                <w:bCs/>
                <w:color w:val="000000"/>
                <w:sz w:val="20"/>
                <w:lang w:eastAsia="pl-PL"/>
              </w:rPr>
            </w:pPr>
            <w:r>
              <w:rPr>
                <w:rFonts w:eastAsia="Times New Roman" w:cs="Calibri"/>
                <w:b/>
                <w:bCs/>
                <w:color w:val="000000"/>
                <w:sz w:val="20"/>
                <w:lang w:eastAsia="pl-PL"/>
              </w:rPr>
              <w:t xml:space="preserve">2024</w:t>
            </w:r>
            <w:r>
              <w:rPr>
                <w:rFonts w:eastAsia="Times New Roman" w:cs="Calibri"/>
                <w:b/>
                <w:bCs/>
                <w:color w:val="000000"/>
                <w:sz w:val="20"/>
                <w:lang w:eastAsia="pl-PL"/>
              </w:rPr>
            </w:r>
            <w:r>
              <w:rPr>
                <w:rFonts w:eastAsia="Times New Roman" w:cs="Calibri"/>
                <w:b/>
                <w:bCs/>
                <w:color w:val="000000"/>
                <w:sz w:val="20"/>
                <w:lang w:eastAsia="pl-PL"/>
              </w:rPr>
            </w:r>
          </w:p>
        </w:tc>
        <w:tc>
          <w:tcPr>
            <w:shd w:val="clear" w:color="ffffff" w:fill="e2efd9" w:themeFill="accent6" w:themeFillTint="33"/>
            <w:tcBorders>
              <w:top w:val="single" w:color="bfbfbf" w:sz="4" w:space="0"/>
              <w:left w:val="single" w:color="bfbfbf" w:sz="4" w:space="0"/>
              <w:bottom w:val="single" w:color="bfbfbf" w:sz="4" w:space="0"/>
              <w:right w:val="single" w:color="bfbfbf" w:sz="4" w:space="0"/>
            </w:tcBorders>
            <w:tcW w:w="1197" w:type="dxa"/>
            <w:vAlign w:val="center"/>
          </w:tcPr>
          <w:p w14:paraId="76934F32">
            <w:pPr>
              <w:pStyle w:val="845"/>
              <w:pBdr/>
              <w:spacing w:after="0" w:before="0"/>
              <w:ind/>
              <w:jc w:val="center"/>
              <w:rPr>
                <w:rFonts w:eastAsia="Times New Roman" w:cs="Calibri"/>
                <w:b/>
                <w:bCs/>
                <w:color w:val="000000"/>
                <w:sz w:val="20"/>
                <w:lang w:eastAsia="pl-PL"/>
              </w:rPr>
            </w:pPr>
            <w:r>
              <w:rPr>
                <w:rFonts w:eastAsia="Times New Roman" w:cs="Calibri"/>
                <w:b/>
                <w:bCs/>
                <w:color w:val="000000"/>
                <w:sz w:val="20"/>
                <w:lang w:eastAsia="pl-PL"/>
              </w:rPr>
              <w:t xml:space="preserve">2025</w:t>
            </w:r>
            <w:r>
              <w:rPr>
                <w:rFonts w:eastAsia="Times New Roman" w:cs="Calibri"/>
                <w:b/>
                <w:bCs/>
                <w:color w:val="000000"/>
                <w:sz w:val="20"/>
                <w:lang w:eastAsia="pl-PL"/>
              </w:rPr>
            </w:r>
            <w:r>
              <w:rPr>
                <w:rFonts w:eastAsia="Times New Roman" w:cs="Calibri"/>
                <w:b/>
                <w:bCs/>
                <w:color w:val="000000"/>
                <w:sz w:val="20"/>
                <w:lang w:eastAsia="pl-PL"/>
              </w:rPr>
            </w:r>
          </w:p>
        </w:tc>
      </w:tr>
      <w:tr>
        <w:trPr>
          <w:trHeight w:val="387"/>
        </w:trPr>
        <w:tc>
          <w:tcPr>
            <w:tcBorders>
              <w:top w:val="single" w:color="bfbfbf" w:sz="4" w:space="0"/>
              <w:left w:val="single" w:color="bfbfbf" w:sz="4" w:space="0"/>
              <w:bottom w:val="single" w:color="bfbfbf" w:sz="4" w:space="0"/>
              <w:right w:val="single" w:color="bfbfbf" w:sz="4" w:space="0"/>
            </w:tcBorders>
            <w:tcW w:w="5124" w:type="dxa"/>
            <w:vAlign w:val="center"/>
          </w:tcPr>
          <w:p w14:paraId="6284F8AB">
            <w:pPr>
              <w:pStyle w:val="845"/>
              <w:pBdr/>
              <w:spacing w:after="0" w:before="0"/>
              <w:ind/>
              <w:jc w:val="left"/>
              <w:rPr>
                <w:rFonts w:eastAsia="Times New Roman" w:cs="Calibri"/>
                <w:color w:val="000000"/>
                <w:sz w:val="20"/>
                <w:lang w:eastAsia="pl-PL"/>
              </w:rPr>
            </w:pPr>
            <w:r>
              <w:rPr>
                <w:rFonts w:eastAsia="Times New Roman" w:cs="Calibri"/>
                <w:color w:val="000000"/>
                <w:sz w:val="20"/>
                <w:lang w:eastAsia="pl-PL"/>
              </w:rPr>
              <w:t xml:space="preserve">Liczba osób, którym przyznano świadczenie</w:t>
            </w:r>
            <w:r>
              <w:rPr>
                <w:rFonts w:eastAsia="Times New Roman" w:cs="Calibri"/>
                <w:color w:val="000000"/>
                <w:sz w:val="20"/>
                <w:lang w:eastAsia="pl-PL"/>
              </w:rPr>
            </w:r>
            <w:r>
              <w:rPr>
                <w:rFonts w:eastAsia="Times New Roman" w:cs="Calibri"/>
                <w:color w:val="000000"/>
                <w:sz w:val="20"/>
                <w:lang w:eastAsia="pl-PL"/>
              </w:rPr>
            </w:r>
          </w:p>
        </w:tc>
        <w:tc>
          <w:tcPr>
            <w:tcBorders>
              <w:top w:val="single" w:color="bfbfbf" w:sz="4" w:space="0"/>
              <w:left w:val="single" w:color="bfbfbf" w:sz="4" w:space="0"/>
              <w:bottom w:val="single" w:color="bfbfbf" w:sz="4" w:space="0"/>
              <w:right w:val="single" w:color="bfbfbf" w:sz="4" w:space="0"/>
            </w:tcBorders>
            <w:tcW w:w="1196" w:type="dxa"/>
            <w:vAlign w:val="center"/>
          </w:tcPr>
          <w:p w14:paraId="08808FB2">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288</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8" w:type="dxa"/>
            <w:vAlign w:val="center"/>
          </w:tcPr>
          <w:p w14:paraId="5D0E15EA">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252</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7" w:type="dxa"/>
            <w:vAlign w:val="center"/>
          </w:tcPr>
          <w:p w14:paraId="58CA709C">
            <w:pPr>
              <w:pStyle w:val="845"/>
              <w:pBdr/>
              <w:spacing w:after="0" w:before="0"/>
              <w:ind/>
              <w:jc w:val="center"/>
              <w:rPr>
                <w:rFonts w:eastAsia="Times New Roman" w:cs="Calibri"/>
                <w:color w:val="000000"/>
                <w:sz w:val="20"/>
                <w:szCs w:val="20"/>
                <w:lang w:eastAsia="pl-PL"/>
              </w:rPr>
            </w:pPr>
            <w:r>
              <w:rPr>
                <w:rFonts w:eastAsia="Times New Roman" w:cs="Calibri"/>
                <w:color w:val="000000"/>
                <w:sz w:val="20"/>
                <w:szCs w:val="20"/>
                <w:lang w:eastAsia="pl-PL"/>
              </w:rPr>
              <w:t xml:space="preserve">217</w:t>
            </w:r>
            <w:r>
              <w:rPr>
                <w:rFonts w:eastAsia="Times New Roman" w:cs="Calibri"/>
                <w:color w:val="000000"/>
                <w:sz w:val="20"/>
                <w:szCs w:val="20"/>
                <w:lang w:eastAsia="pl-PL"/>
              </w:rPr>
            </w:r>
            <w:r>
              <w:rPr>
                <w:rFonts w:eastAsia="Times New Roman" w:cs="Calibri"/>
                <w:color w:val="000000"/>
                <w:sz w:val="20"/>
                <w:szCs w:val="20"/>
                <w:lang w:eastAsia="pl-PL"/>
              </w:rPr>
            </w:r>
          </w:p>
        </w:tc>
      </w:tr>
      <w:tr>
        <w:trPr>
          <w:trHeight w:val="387"/>
        </w:trPr>
        <w:tc>
          <w:tcPr>
            <w:tcBorders>
              <w:top w:val="single" w:color="bfbfbf" w:sz="4" w:space="0"/>
              <w:left w:val="single" w:color="bfbfbf" w:sz="4" w:space="0"/>
              <w:bottom w:val="single" w:color="bfbfbf" w:sz="4" w:space="0"/>
              <w:right w:val="single" w:color="bfbfbf" w:sz="4" w:space="0"/>
            </w:tcBorders>
            <w:tcW w:w="5124" w:type="dxa"/>
            <w:vAlign w:val="center"/>
          </w:tcPr>
          <w:p w14:paraId="37C356DE">
            <w:pPr>
              <w:pStyle w:val="845"/>
              <w:pBdr/>
              <w:spacing w:after="0" w:before="0"/>
              <w:ind/>
              <w:jc w:val="left"/>
              <w:rPr>
                <w:rFonts w:eastAsia="Times New Roman" w:cs="Calibri"/>
                <w:color w:val="000000"/>
                <w:sz w:val="20"/>
                <w:lang w:eastAsia="pl-PL"/>
              </w:rPr>
            </w:pPr>
            <w:r>
              <w:rPr>
                <w:rFonts w:eastAsia="Times New Roman" w:cs="Calibri"/>
                <w:color w:val="000000"/>
                <w:sz w:val="20"/>
                <w:lang w:eastAsia="pl-PL"/>
              </w:rPr>
              <w:t xml:space="preserve">- świadczenia pieniężne</w:t>
            </w:r>
            <w:r>
              <w:rPr>
                <w:rFonts w:eastAsia="Times New Roman" w:cs="Calibri"/>
                <w:color w:val="000000"/>
                <w:sz w:val="20"/>
                <w:lang w:eastAsia="pl-PL"/>
              </w:rPr>
            </w:r>
            <w:r>
              <w:rPr>
                <w:rFonts w:eastAsia="Times New Roman" w:cs="Calibri"/>
                <w:color w:val="000000"/>
                <w:sz w:val="20"/>
                <w:lang w:eastAsia="pl-PL"/>
              </w:rPr>
            </w:r>
          </w:p>
        </w:tc>
        <w:tc>
          <w:tcPr>
            <w:tcBorders>
              <w:top w:val="single" w:color="bfbfbf" w:sz="4" w:space="0"/>
              <w:left w:val="single" w:color="bfbfbf" w:sz="4" w:space="0"/>
              <w:bottom w:val="single" w:color="bfbfbf" w:sz="4" w:space="0"/>
              <w:right w:val="single" w:color="bfbfbf" w:sz="4" w:space="0"/>
            </w:tcBorders>
            <w:tcW w:w="1196" w:type="dxa"/>
            <w:vAlign w:val="center"/>
          </w:tcPr>
          <w:p w14:paraId="71AD0DD0">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186</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8" w:type="dxa"/>
            <w:vAlign w:val="center"/>
          </w:tcPr>
          <w:p w14:paraId="79ACEE1D">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158</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7" w:type="dxa"/>
            <w:vAlign w:val="center"/>
          </w:tcPr>
          <w:p w14:paraId="4D065880">
            <w:pPr>
              <w:pStyle w:val="845"/>
              <w:pBdr/>
              <w:spacing w:after="0" w:before="0"/>
              <w:ind/>
              <w:jc w:val="center"/>
              <w:rPr>
                <w:rFonts w:eastAsia="Times New Roman" w:cs="Calibri"/>
                <w:color w:val="000000"/>
                <w:sz w:val="20"/>
                <w:szCs w:val="20"/>
                <w:lang w:eastAsia="pl-PL"/>
              </w:rPr>
            </w:pPr>
            <w:r>
              <w:rPr>
                <w:rFonts w:eastAsia="Times New Roman" w:cs="Calibri"/>
                <w:color w:val="000000"/>
                <w:sz w:val="20"/>
                <w:szCs w:val="20"/>
                <w:lang w:eastAsia="pl-PL"/>
              </w:rPr>
              <w:t xml:space="preserve">142</w:t>
            </w:r>
            <w:r>
              <w:rPr>
                <w:rFonts w:eastAsia="Times New Roman" w:cs="Calibri"/>
                <w:color w:val="000000"/>
                <w:sz w:val="20"/>
                <w:szCs w:val="20"/>
                <w:lang w:eastAsia="pl-PL"/>
              </w:rPr>
            </w:r>
            <w:r>
              <w:rPr>
                <w:rFonts w:eastAsia="Times New Roman" w:cs="Calibri"/>
                <w:color w:val="000000"/>
                <w:sz w:val="20"/>
                <w:szCs w:val="20"/>
                <w:lang w:eastAsia="pl-PL"/>
              </w:rPr>
            </w:r>
          </w:p>
        </w:tc>
      </w:tr>
      <w:tr>
        <w:trPr>
          <w:trHeight w:val="387"/>
        </w:trPr>
        <w:tc>
          <w:tcPr>
            <w:tcBorders>
              <w:top w:val="single" w:color="bfbfbf" w:sz="4" w:space="0"/>
              <w:left w:val="single" w:color="bfbfbf" w:sz="4" w:space="0"/>
              <w:bottom w:val="single" w:color="bfbfbf" w:sz="4" w:space="0"/>
              <w:right w:val="single" w:color="bfbfbf" w:sz="4" w:space="0"/>
            </w:tcBorders>
            <w:tcW w:w="5124" w:type="dxa"/>
            <w:vAlign w:val="center"/>
          </w:tcPr>
          <w:p w14:paraId="19F2A1FF">
            <w:pPr>
              <w:pStyle w:val="845"/>
              <w:pBdr/>
              <w:spacing w:after="0" w:before="0"/>
              <w:ind/>
              <w:jc w:val="left"/>
              <w:rPr>
                <w:rFonts w:eastAsia="Times New Roman" w:cs="Calibri"/>
                <w:color w:val="000000"/>
                <w:sz w:val="20"/>
                <w:lang w:eastAsia="pl-PL"/>
              </w:rPr>
            </w:pPr>
            <w:r>
              <w:rPr>
                <w:rFonts w:eastAsia="Times New Roman" w:cs="Calibri"/>
                <w:color w:val="000000"/>
                <w:sz w:val="20"/>
                <w:lang w:eastAsia="pl-PL"/>
              </w:rPr>
              <w:t xml:space="preserve">- świadczenia niepieniężne</w:t>
            </w:r>
            <w:r>
              <w:rPr>
                <w:rFonts w:eastAsia="Times New Roman" w:cs="Calibri"/>
                <w:color w:val="000000"/>
                <w:sz w:val="20"/>
                <w:lang w:eastAsia="pl-PL"/>
              </w:rPr>
            </w:r>
            <w:r>
              <w:rPr>
                <w:rFonts w:eastAsia="Times New Roman" w:cs="Calibri"/>
                <w:color w:val="000000"/>
                <w:sz w:val="20"/>
                <w:lang w:eastAsia="pl-PL"/>
              </w:rPr>
            </w:r>
          </w:p>
        </w:tc>
        <w:tc>
          <w:tcPr>
            <w:tcBorders>
              <w:top w:val="single" w:color="bfbfbf" w:sz="4" w:space="0"/>
              <w:left w:val="single" w:color="bfbfbf" w:sz="4" w:space="0"/>
              <w:bottom w:val="single" w:color="bfbfbf" w:sz="4" w:space="0"/>
              <w:right w:val="single" w:color="bfbfbf" w:sz="4" w:space="0"/>
            </w:tcBorders>
            <w:tcW w:w="1196" w:type="dxa"/>
            <w:vAlign w:val="center"/>
          </w:tcPr>
          <w:p w14:paraId="3EBAB980">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105</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8" w:type="dxa"/>
            <w:vAlign w:val="center"/>
          </w:tcPr>
          <w:p w14:paraId="4CFA3438">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97</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7" w:type="dxa"/>
            <w:vAlign w:val="center"/>
          </w:tcPr>
          <w:p w14:paraId="3A36791A">
            <w:pPr>
              <w:pStyle w:val="845"/>
              <w:pBdr/>
              <w:spacing w:after="0" w:before="0"/>
              <w:ind/>
              <w:jc w:val="center"/>
              <w:rPr>
                <w:rFonts w:eastAsia="Times New Roman" w:cs="Calibri"/>
                <w:color w:val="000000"/>
                <w:sz w:val="20"/>
                <w:szCs w:val="20"/>
                <w:lang w:eastAsia="pl-PL"/>
              </w:rPr>
            </w:pPr>
            <w:r>
              <w:rPr>
                <w:rFonts w:eastAsia="Times New Roman" w:cs="Calibri"/>
                <w:color w:val="000000"/>
                <w:sz w:val="20"/>
                <w:szCs w:val="20"/>
                <w:lang w:eastAsia="pl-PL"/>
              </w:rPr>
              <w:t xml:space="preserve">77</w:t>
            </w:r>
            <w:r>
              <w:rPr>
                <w:rFonts w:eastAsia="Times New Roman" w:cs="Calibri"/>
                <w:color w:val="000000"/>
                <w:sz w:val="20"/>
                <w:szCs w:val="20"/>
                <w:lang w:eastAsia="pl-PL"/>
              </w:rPr>
            </w:r>
            <w:r>
              <w:rPr>
                <w:rFonts w:eastAsia="Times New Roman" w:cs="Calibri"/>
                <w:color w:val="000000"/>
                <w:sz w:val="20"/>
                <w:szCs w:val="20"/>
                <w:lang w:eastAsia="pl-PL"/>
              </w:rPr>
            </w:r>
          </w:p>
        </w:tc>
      </w:tr>
      <w:tr>
        <w:trPr>
          <w:trHeight w:val="387"/>
        </w:trPr>
        <w:tc>
          <w:tcPr>
            <w:tcBorders>
              <w:top w:val="single" w:color="bfbfbf" w:sz="4" w:space="0"/>
              <w:left w:val="single" w:color="bfbfbf" w:sz="4" w:space="0"/>
              <w:bottom w:val="single" w:color="bfbfbf" w:sz="4" w:space="0"/>
              <w:right w:val="single" w:color="bfbfbf" w:sz="4" w:space="0"/>
            </w:tcBorders>
            <w:tcW w:w="5124" w:type="dxa"/>
            <w:vAlign w:val="center"/>
          </w:tcPr>
          <w:p w14:paraId="12DE91B9">
            <w:pPr>
              <w:pStyle w:val="845"/>
              <w:pBdr/>
              <w:spacing w:after="0" w:before="0"/>
              <w:ind/>
              <w:jc w:val="left"/>
              <w:rPr>
                <w:rFonts w:eastAsia="Times New Roman" w:cs="Calibri"/>
                <w:color w:val="000000"/>
                <w:sz w:val="20"/>
                <w:lang w:eastAsia="pl-PL"/>
              </w:rPr>
            </w:pPr>
            <w:r>
              <w:rPr>
                <w:rFonts w:eastAsia="Times New Roman" w:cs="Calibri"/>
                <w:color w:val="000000"/>
                <w:sz w:val="20"/>
                <w:lang w:eastAsia="pl-PL"/>
              </w:rPr>
              <w:t xml:space="preserve">Liczba rodzin</w:t>
            </w:r>
            <w:r>
              <w:rPr>
                <w:rFonts w:eastAsia="Times New Roman" w:cs="Calibri"/>
                <w:color w:val="000000"/>
                <w:sz w:val="20"/>
                <w:lang w:eastAsia="pl-PL"/>
              </w:rPr>
            </w:r>
            <w:r>
              <w:rPr>
                <w:rFonts w:eastAsia="Times New Roman" w:cs="Calibri"/>
                <w:color w:val="000000"/>
                <w:sz w:val="20"/>
                <w:lang w:eastAsia="pl-PL"/>
              </w:rPr>
            </w:r>
          </w:p>
        </w:tc>
        <w:tc>
          <w:tcPr>
            <w:tcBorders>
              <w:top w:val="single" w:color="bfbfbf" w:sz="4" w:space="0"/>
              <w:left w:val="single" w:color="bfbfbf" w:sz="4" w:space="0"/>
              <w:bottom w:val="single" w:color="bfbfbf" w:sz="4" w:space="0"/>
              <w:right w:val="single" w:color="bfbfbf" w:sz="4" w:space="0"/>
            </w:tcBorders>
            <w:tcW w:w="1196" w:type="dxa"/>
            <w:vAlign w:val="center"/>
          </w:tcPr>
          <w:p w14:paraId="7E743728">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205</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8" w:type="dxa"/>
            <w:vAlign w:val="center"/>
          </w:tcPr>
          <w:p w14:paraId="67EF2C9B">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183</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7" w:type="dxa"/>
            <w:vAlign w:val="center"/>
          </w:tcPr>
          <w:p w14:paraId="515B4B07">
            <w:pPr>
              <w:pStyle w:val="845"/>
              <w:pBdr/>
              <w:spacing w:after="0" w:before="0"/>
              <w:ind/>
              <w:jc w:val="center"/>
              <w:rPr>
                <w:rFonts w:eastAsia="Times New Roman" w:cs="Calibri"/>
                <w:color w:val="000000"/>
                <w:sz w:val="20"/>
                <w:szCs w:val="20"/>
                <w:lang w:eastAsia="pl-PL"/>
              </w:rPr>
            </w:pPr>
            <w:r>
              <w:rPr>
                <w:rFonts w:eastAsia="Times New Roman" w:cs="Calibri"/>
                <w:color w:val="000000"/>
                <w:sz w:val="20"/>
                <w:szCs w:val="20"/>
                <w:lang w:eastAsia="pl-PL"/>
              </w:rPr>
              <w:t xml:space="preserve">159</w:t>
            </w:r>
            <w:r>
              <w:rPr>
                <w:rFonts w:eastAsia="Times New Roman" w:cs="Calibri"/>
                <w:color w:val="000000"/>
                <w:sz w:val="20"/>
                <w:szCs w:val="20"/>
                <w:lang w:eastAsia="pl-PL"/>
              </w:rPr>
            </w:r>
            <w:r>
              <w:rPr>
                <w:rFonts w:eastAsia="Times New Roman" w:cs="Calibri"/>
                <w:color w:val="000000"/>
                <w:sz w:val="20"/>
                <w:szCs w:val="20"/>
                <w:lang w:eastAsia="pl-PL"/>
              </w:rPr>
            </w:r>
          </w:p>
        </w:tc>
      </w:tr>
      <w:tr>
        <w:trPr>
          <w:trHeight w:val="387"/>
        </w:trPr>
        <w:tc>
          <w:tcPr>
            <w:tcBorders>
              <w:top w:val="single" w:color="bfbfbf" w:sz="4" w:space="0"/>
              <w:left w:val="single" w:color="bfbfbf" w:sz="4" w:space="0"/>
              <w:bottom w:val="single" w:color="bfbfbf" w:sz="4" w:space="0"/>
              <w:right w:val="single" w:color="bfbfbf" w:sz="4" w:space="0"/>
            </w:tcBorders>
            <w:tcW w:w="5124" w:type="dxa"/>
            <w:vAlign w:val="center"/>
          </w:tcPr>
          <w:p w14:paraId="43ADC5F2">
            <w:pPr>
              <w:pStyle w:val="845"/>
              <w:pBdr/>
              <w:spacing w:after="0" w:before="0"/>
              <w:ind/>
              <w:jc w:val="left"/>
              <w:rPr>
                <w:rFonts w:eastAsia="Times New Roman" w:cs="Calibri"/>
                <w:color w:val="000000"/>
                <w:sz w:val="20"/>
                <w:lang w:eastAsia="pl-PL"/>
              </w:rPr>
            </w:pPr>
            <w:r>
              <w:rPr>
                <w:rFonts w:eastAsia="Times New Roman" w:cs="Calibri"/>
                <w:color w:val="000000"/>
                <w:sz w:val="20"/>
                <w:lang w:eastAsia="pl-PL"/>
              </w:rPr>
              <w:t xml:space="preserve">Liczba osób w rodzinach</w:t>
            </w:r>
            <w:r>
              <w:rPr>
                <w:rFonts w:eastAsia="Times New Roman" w:cs="Calibri"/>
                <w:color w:val="000000"/>
                <w:sz w:val="20"/>
                <w:lang w:eastAsia="pl-PL"/>
              </w:rPr>
            </w:r>
            <w:r>
              <w:rPr>
                <w:rFonts w:eastAsia="Times New Roman" w:cs="Calibri"/>
                <w:color w:val="000000"/>
                <w:sz w:val="20"/>
                <w:lang w:eastAsia="pl-PL"/>
              </w:rPr>
            </w:r>
          </w:p>
        </w:tc>
        <w:tc>
          <w:tcPr>
            <w:tcBorders>
              <w:top w:val="single" w:color="bfbfbf" w:sz="4" w:space="0"/>
              <w:left w:val="single" w:color="bfbfbf" w:sz="4" w:space="0"/>
              <w:bottom w:val="single" w:color="bfbfbf" w:sz="4" w:space="0"/>
              <w:right w:val="single" w:color="bfbfbf" w:sz="4" w:space="0"/>
            </w:tcBorders>
            <w:tcW w:w="1196" w:type="dxa"/>
            <w:vAlign w:val="center"/>
          </w:tcPr>
          <w:p w14:paraId="0EE0D525">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522</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8" w:type="dxa"/>
            <w:vAlign w:val="center"/>
          </w:tcPr>
          <w:p w14:paraId="442143A9">
            <w:pPr>
              <w:pStyle w:val="845"/>
              <w:pBdr/>
              <w:spacing w:after="0" w:before="0"/>
              <w:ind/>
              <w:jc w:val="center"/>
              <w:rPr>
                <w:rFonts w:eastAsia="Times New Roman" w:cs="Calibri"/>
                <w:color w:val="000000"/>
                <w:sz w:val="20"/>
                <w:szCs w:val="18"/>
                <w:lang w:eastAsia="pl-PL"/>
              </w:rPr>
            </w:pPr>
            <w:r>
              <w:rPr>
                <w:rFonts w:eastAsia="Times New Roman" w:cs="Calibri"/>
                <w:color w:val="000000"/>
                <w:sz w:val="20"/>
                <w:szCs w:val="18"/>
                <w:lang w:eastAsia="pl-PL"/>
              </w:rPr>
              <w:t xml:space="preserve">427</w:t>
            </w:r>
            <w:r>
              <w:rPr>
                <w:rFonts w:eastAsia="Times New Roman" w:cs="Calibri"/>
                <w:color w:val="000000"/>
                <w:sz w:val="20"/>
                <w:szCs w:val="18"/>
                <w:lang w:eastAsia="pl-PL"/>
              </w:rPr>
            </w:r>
            <w:r>
              <w:rPr>
                <w:rFonts w:eastAsia="Times New Roman" w:cs="Calibri"/>
                <w:color w:val="000000"/>
                <w:sz w:val="20"/>
                <w:szCs w:val="18"/>
                <w:lang w:eastAsia="pl-PL"/>
              </w:rPr>
            </w:r>
          </w:p>
        </w:tc>
        <w:tc>
          <w:tcPr>
            <w:tcBorders>
              <w:top w:val="single" w:color="bfbfbf" w:sz="4" w:space="0"/>
              <w:left w:val="single" w:color="bfbfbf" w:sz="4" w:space="0"/>
              <w:bottom w:val="single" w:color="bfbfbf" w:sz="4" w:space="0"/>
              <w:right w:val="single" w:color="bfbfbf" w:sz="4" w:space="0"/>
            </w:tcBorders>
            <w:tcW w:w="1197" w:type="dxa"/>
            <w:vAlign w:val="center"/>
          </w:tcPr>
          <w:p w14:paraId="09A44C46">
            <w:pPr>
              <w:pStyle w:val="845"/>
              <w:pBdr/>
              <w:spacing w:after="0" w:before="0"/>
              <w:ind/>
              <w:jc w:val="center"/>
              <w:rPr>
                <w:rFonts w:eastAsia="Times New Roman" w:cs="Calibri"/>
                <w:color w:val="000000"/>
                <w:sz w:val="20"/>
                <w:szCs w:val="20"/>
                <w:lang w:eastAsia="pl-PL"/>
              </w:rPr>
            </w:pPr>
            <w:r>
              <w:rPr>
                <w:rFonts w:eastAsia="Times New Roman" w:cs="Calibri"/>
                <w:color w:val="000000"/>
                <w:sz w:val="20"/>
                <w:szCs w:val="20"/>
                <w:lang w:eastAsia="pl-PL"/>
              </w:rPr>
              <w:t xml:space="preserve">367</w:t>
            </w:r>
            <w:r>
              <w:rPr>
                <w:rFonts w:eastAsia="Times New Roman" w:cs="Calibri"/>
                <w:color w:val="000000"/>
                <w:sz w:val="20"/>
                <w:szCs w:val="20"/>
                <w:lang w:eastAsia="pl-PL"/>
              </w:rPr>
            </w:r>
            <w:r>
              <w:rPr>
                <w:rFonts w:eastAsia="Times New Roman" w:cs="Calibri"/>
                <w:color w:val="000000"/>
                <w:sz w:val="20"/>
                <w:szCs w:val="20"/>
                <w:lang w:eastAsia="pl-PL"/>
              </w:rPr>
            </w:r>
          </w:p>
        </w:tc>
      </w:tr>
    </w:tbl>
    <w:p w14:paraId="74A23F6D">
      <w:pPr>
        <w:pStyle w:val="845"/>
        <w:pBdr/>
        <w:spacing w:line="276" w:lineRule="auto"/>
        <w:ind/>
        <w:jc w:val="left"/>
        <w:rPr>
          <w:rStyle w:val="870"/>
          <w:highlight w:val="none"/>
        </w:rPr>
      </w:pPr>
      <w:r>
        <w:rPr>
          <w:rStyle w:val="870"/>
        </w:rPr>
        <w:t xml:space="preserve">Źródło: opracowanie własne na podstawie danych GOPS.</w:t>
      </w:r>
      <w:r>
        <w:rPr>
          <w:b/>
          <w:bCs/>
          <w:sz w:val="20"/>
        </w:rPr>
      </w:r>
      <w:r>
        <w:rPr>
          <w:rStyle w:val="870"/>
          <w:highlight w:val="none"/>
        </w:rPr>
      </w:r>
    </w:p>
    <w:p w14:paraId="584B2C35">
      <w:pPr>
        <w:pStyle w:val="845"/>
        <w:pBdr/>
        <w:spacing w:line="276" w:lineRule="auto"/>
        <w:ind/>
        <w:rPr/>
      </w:pPr>
      <w:r>
        <w:rPr>
          <w:highlight w:val="none"/>
        </w:rPr>
      </w:r>
      <w:r>
        <w:rPr>
          <w:highlight w:val="none"/>
        </w:rPr>
      </w:r>
      <w:r/>
    </w:p>
    <w:p w14:paraId="64187F59">
      <w:pPr>
        <w:pStyle w:val="845"/>
        <w:pBdr/>
        <w:spacing w:line="276" w:lineRule="auto"/>
        <w:ind/>
        <w:rPr>
          <w:highlight w:val="none"/>
        </w:rPr>
      </w:pPr>
      <w:r>
        <w:rPr>
          <w:highlight w:val="none"/>
        </w:rPr>
      </w:r>
      <w:r>
        <w:rPr>
          <w:highlight w:val="none"/>
        </w:rPr>
      </w:r>
      <w:r>
        <w:rPr>
          <w:highlight w:val="none"/>
        </w:rPr>
      </w:r>
    </w:p>
    <w:p w14:paraId="7ABEDD8D">
      <w:pPr>
        <w:pStyle w:val="845"/>
        <w:pBdr/>
        <w:spacing w:line="276" w:lineRule="auto"/>
        <w:ind/>
        <w:rPr>
          <w:highlight w:val="none"/>
        </w:rPr>
      </w:pPr>
      <w:r>
        <w:rPr>
          <w:highlight w:val="none"/>
        </w:rPr>
      </w:r>
      <w:r>
        <w:rPr>
          <w:highlight w:val="none"/>
        </w:rPr>
      </w:r>
      <w:r>
        <w:rPr>
          <w:highlight w:val="none"/>
        </w:rPr>
      </w:r>
    </w:p>
    <w:p w14:paraId="59BA2E8E">
      <w:pPr>
        <w:pStyle w:val="845"/>
        <w:pBdr/>
        <w:spacing w:line="276" w:lineRule="auto"/>
        <w:ind/>
        <w:rPr>
          <w:highlight w:val="none"/>
        </w:rPr>
      </w:pPr>
      <w:r>
        <w:rPr>
          <w:highlight w:val="none"/>
        </w:rPr>
      </w:r>
      <w:r>
        <w:rPr>
          <w:highlight w:val="none"/>
        </w:rPr>
      </w:r>
      <w:r>
        <w:rPr>
          <w:highlight w:val="none"/>
        </w:rPr>
      </w:r>
    </w:p>
    <w:p w14:paraId="0AD7F1EF">
      <w:pPr>
        <w:pStyle w:val="845"/>
        <w:pBdr/>
        <w:spacing w:line="276" w:lineRule="auto"/>
        <w:ind/>
        <w:rPr>
          <w:highlight w:val="none"/>
        </w:rPr>
      </w:pPr>
      <w:r>
        <w:t xml:space="preserve">Struktura świadczeń przyznawanych przez GOPS w Braniewie wskazuje na przewagę liczby osób korzystających ze świadczeń pieniężnych. W 2025 roku otrzymały je 142 osoby, podczas gdy ze świadczeń niepieniężnych korzystało 77 osób. </w:t>
      </w:r>
      <w:r>
        <w:rPr>
          <w:highlight w:val="none"/>
        </w:rPr>
      </w:r>
    </w:p>
    <w:p w14:paraId="5D831F47">
      <w:pPr>
        <w:pStyle w:val="845"/>
        <w:pBdr/>
        <w:spacing w:after="160" w:before="120"/>
        <w:ind/>
        <w:jc w:val="center"/>
        <w:rPr>
          <w:rFonts w:eastAsia="Times New Roman"/>
          <w:b/>
          <w:bCs/>
          <w:sz w:val="20"/>
          <w:szCs w:val="32"/>
        </w:rPr>
      </w:pPr>
      <w:r/>
      <w:bookmarkStart w:id="11" w:name="_Toc94466263"/>
      <w:r>
        <w:rPr>
          <w:rFonts w:eastAsia="Times New Roman"/>
          <w:b/>
          <w:bCs/>
          <w:sz w:val="20"/>
          <w:szCs w:val="32"/>
        </w:rPr>
        <w:t xml:space="preserve">Tabela </w:t>
      </w:r>
      <w:r>
        <w:rPr>
          <w:rFonts w:eastAsia="Times New Roman"/>
          <w:b/>
          <w:bCs/>
          <w:sz w:val="20"/>
          <w:szCs w:val="32"/>
        </w:rPr>
        <w:fldChar w:fldCharType="begin"/>
      </w:r>
      <w:r>
        <w:rPr>
          <w:rFonts w:eastAsia="Times New Roman"/>
          <w:b/>
          <w:bCs/>
          <w:sz w:val="20"/>
          <w:szCs w:val="32"/>
        </w:rPr>
        <w:instrText xml:space="preserve"> SEQ Tabela \* ARABIC </w:instrText>
      </w:r>
      <w:r>
        <w:rPr>
          <w:rFonts w:eastAsia="Times New Roman"/>
          <w:b/>
          <w:bCs/>
          <w:sz w:val="20"/>
          <w:szCs w:val="32"/>
        </w:rPr>
        <w:fldChar w:fldCharType="separate"/>
      </w:r>
      <w:r>
        <w:rPr>
          <w:rFonts w:eastAsia="Times New Roman"/>
          <w:b/>
          <w:bCs/>
          <w:sz w:val="20"/>
          <w:szCs w:val="32"/>
        </w:rPr>
        <w:t xml:space="preserve">4</w:t>
      </w:r>
      <w:r>
        <w:rPr>
          <w:rFonts w:eastAsia="Times New Roman"/>
          <w:b/>
          <w:bCs/>
          <w:sz w:val="20"/>
          <w:szCs w:val="32"/>
        </w:rPr>
        <w:fldChar w:fldCharType="end"/>
      </w:r>
      <w:r>
        <w:rPr>
          <w:rFonts w:eastAsia="Times New Roman"/>
          <w:b/>
          <w:bCs/>
          <w:sz w:val="20"/>
          <w:szCs w:val="32"/>
        </w:rPr>
        <w:t xml:space="preserve">. Powody przyznawania pomocy społecznej w Gminie Braniewo w latach 2023-202</w:t>
      </w:r>
      <w:bookmarkEnd w:id="11"/>
      <w:r>
        <w:rPr>
          <w:rFonts w:eastAsia="Times New Roman"/>
          <w:b/>
          <w:bCs/>
          <w:sz w:val="20"/>
          <w:szCs w:val="32"/>
        </w:rPr>
        <w:t xml:space="preserve">5</w:t>
      </w:r>
      <w:r>
        <w:rPr>
          <w:rFonts w:eastAsia="Times New Roman"/>
          <w:b/>
          <w:bCs/>
          <w:sz w:val="20"/>
          <w:szCs w:val="32"/>
        </w:rPr>
      </w:r>
      <w:r>
        <w:rPr>
          <w:rFonts w:eastAsia="Times New Roman"/>
          <w:b/>
          <w:bCs/>
          <w:sz w:val="20"/>
          <w:szCs w:val="32"/>
        </w:rPr>
      </w:r>
    </w:p>
    <w:tbl>
      <w:tblPr>
        <w:tblStyle w:val="1066"/>
        <w:jc w:val="center"/>
        <w:tblInd w:w="0" w:type="dxa"/>
        <w:tblW w:w="8926" w:type="dxa"/>
        <w:tblCellMar>
          <w:left w:w="108" w:type="dxa"/>
          <w:top w:w="0" w:type="dxa"/>
          <w:right w:w="108" w:type="dxa"/>
          <w:bottom w:w="0" w:type="dxa"/>
        </w:tblCellMar>
        <w:tblBorders/>
        <w:tblLayout w:type="fixed"/>
        <w:tblLook w:val="04A0" w:firstRow="1" w:lastRow="0" w:firstColumn="1" w:lastColumn="0" w:noHBand="0" w:noVBand="1"/>
      </w:tblPr>
      <w:tblGrid>
        <w:gridCol w:w="3193"/>
        <w:gridCol w:w="887"/>
        <w:gridCol w:w="1048"/>
        <w:gridCol w:w="841"/>
        <w:gridCol w:w="1095"/>
        <w:gridCol w:w="796"/>
        <w:gridCol w:w="1066"/>
      </w:tblGrid>
      <w:tr>
        <w:trPr>
          <w:trHeight w:val="341"/>
        </w:trPr>
        <w:tc>
          <w:tcPr>
            <w:shd w:val="clear" w:color="ffffff" w:fill="e2efd9" w:themeFill="accent6" w:themeFillTint="33"/>
            <w:tcBorders/>
            <w:tcW w:w="3193" w:type="dxa"/>
            <w:vAlign w:val="center"/>
            <w:vMerge w:val="restart"/>
          </w:tcPr>
          <w:p w14:paraId="3A949641">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Wyszczególnienie</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gridSpan w:val="2"/>
            <w:shd w:val="clear" w:color="ffffff" w:fill="e2efd9" w:themeFill="accent6" w:themeFillTint="33"/>
            <w:tcBorders/>
            <w:tcW w:w="1935" w:type="dxa"/>
            <w:vAlign w:val="center"/>
          </w:tcPr>
          <w:p w14:paraId="6A20971E">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2023</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gridSpan w:val="2"/>
            <w:shd w:val="clear" w:color="ffffff" w:fill="e2efd9" w:themeFill="accent6" w:themeFillTint="33"/>
            <w:tcBorders/>
            <w:tcW w:w="1936" w:type="dxa"/>
            <w:vAlign w:val="center"/>
          </w:tcPr>
          <w:p w14:paraId="01507D1D">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2024</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gridSpan w:val="2"/>
            <w:shd w:val="clear" w:color="ffffff" w:fill="e2efd9" w:themeFill="accent6" w:themeFillTint="33"/>
            <w:tcBorders/>
            <w:tcW w:w="1862" w:type="dxa"/>
            <w:vAlign w:val="center"/>
          </w:tcPr>
          <w:p w14:paraId="7C4FB047">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2025</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r>
      <w:tr>
        <w:trPr>
          <w:trHeight w:val="497"/>
        </w:trPr>
        <w:tc>
          <w:tcPr>
            <w:shd w:val="clear" w:color="ffffff" w:fill="e2efd9" w:themeFill="accent6" w:themeFillTint="33"/>
            <w:tcBorders/>
            <w:tcW w:w="3193" w:type="dxa"/>
            <w:vAlign w:val="center"/>
            <w:vMerge w:val="continue"/>
          </w:tcPr>
          <w:p w14:paraId="02CFC9F4">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887" w:type="dxa"/>
            <w:vAlign w:val="center"/>
          </w:tcPr>
          <w:p w14:paraId="195DAF4F">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rodzin</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1048" w:type="dxa"/>
            <w:vAlign w:val="center"/>
          </w:tcPr>
          <w:p w14:paraId="4657EBE9">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osób w rodzinach</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841" w:type="dxa"/>
            <w:vAlign w:val="center"/>
          </w:tcPr>
          <w:p w14:paraId="02F32FB9">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rodzin</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1095" w:type="dxa"/>
            <w:vAlign w:val="center"/>
          </w:tcPr>
          <w:p w14:paraId="575D1EC9">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osób w rodzinach</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796" w:type="dxa"/>
            <w:vAlign w:val="center"/>
          </w:tcPr>
          <w:p w14:paraId="337A4600">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rodzin</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c>
          <w:tcPr>
            <w:shd w:val="clear" w:color="ffffff" w:fill="e2efd9" w:themeFill="accent6" w:themeFillTint="33"/>
            <w:tcBorders/>
            <w:tcW w:w="1066" w:type="dxa"/>
            <w:vAlign w:val="center"/>
          </w:tcPr>
          <w:p w14:paraId="2452D4BF">
            <w:pPr>
              <w:pStyle w:val="845"/>
              <w:widowControl w:val="true"/>
              <w:pBdr/>
              <w:spacing w:after="0" w:before="0" w:line="240" w:lineRule="auto"/>
              <w:ind/>
              <w:jc w:val="center"/>
              <w:rPr>
                <w:rFonts w:ascii="Calibri" w:hAnsi="Calibri" w:eastAsia="Times New Roman" w:cs="Calibri" w:asciiTheme="minorHAnsi" w:hAnsiTheme="minorHAnsi" w:cstheme="minorHAnsi"/>
                <w:b/>
                <w:color w:val="000000"/>
                <w:sz w:val="19"/>
                <w:szCs w:val="19"/>
              </w:rPr>
            </w:pPr>
            <w:r>
              <w:rPr>
                <w:rFonts w:eastAsia="Times New Roman" w:cs="Calibri" w:cstheme="minorHAnsi"/>
                <w:b/>
                <w:color w:val="000000"/>
                <w:sz w:val="19"/>
                <w:szCs w:val="19"/>
                <w:lang w:val="pl-PL" w:eastAsia="pl-PL" w:bidi="ar-SA"/>
              </w:rPr>
              <w:t xml:space="preserve">Liczba osób w rodzinach</w:t>
            </w:r>
            <w:r>
              <w:rPr>
                <w:rFonts w:ascii="Calibri" w:hAnsi="Calibri" w:eastAsia="Times New Roman" w:cs="Calibri" w:asciiTheme="minorHAnsi" w:hAnsiTheme="minorHAnsi" w:cstheme="minorHAnsi"/>
                <w:b/>
                <w:color w:val="000000"/>
                <w:sz w:val="19"/>
                <w:szCs w:val="19"/>
              </w:rPr>
            </w:r>
            <w:r>
              <w:rPr>
                <w:rFonts w:ascii="Calibri" w:hAnsi="Calibri" w:eastAsia="Times New Roman" w:cs="Calibri" w:asciiTheme="minorHAnsi" w:hAnsiTheme="minorHAnsi" w:cstheme="minorHAnsi"/>
                <w:b/>
                <w:color w:val="000000"/>
                <w:sz w:val="19"/>
                <w:szCs w:val="19"/>
              </w:rPr>
            </w:r>
          </w:p>
        </w:tc>
      </w:tr>
      <w:tr>
        <w:trPr>
          <w:trHeight w:val="341"/>
        </w:trPr>
        <w:tc>
          <w:tcPr>
            <w:tcBorders/>
            <w:tcW w:w="3193" w:type="dxa"/>
            <w:vAlign w:val="center"/>
          </w:tcPr>
          <w:p w14:paraId="1FC584BF">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Ubóstwo</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46D4E43D">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145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5C3C0798">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355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0E01E548">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145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141EFF0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351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478F365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146</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2F87BCF8">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323</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5EC22D29">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Bezdomność</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2C865FFE">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4BA9682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0B1DA375">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2274297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6E9DDE35">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70D777C8">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25"/>
        </w:trPr>
        <w:tc>
          <w:tcPr>
            <w:tcBorders/>
            <w:tcW w:w="3193" w:type="dxa"/>
            <w:vAlign w:val="center"/>
          </w:tcPr>
          <w:p w14:paraId="035B0BC4">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Potrzeba ochrony macierzyństwa</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32922C2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4D8C2E4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27</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3125F7B7">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6BC914A2">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107</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3C67EE5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79724A14">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07A070A4">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 </w:t>
            </w:r>
            <w:r>
              <w:rPr>
                <w:rFonts w:eastAsia="Times New Roman" w:cs="Calibri" w:cstheme="minorHAnsi"/>
                <w:color w:val="000000"/>
                <w:sz w:val="20"/>
                <w:szCs w:val="20"/>
                <w:lang w:val="pl-PL" w:eastAsia="pl-PL" w:bidi="ar-SA"/>
              </w:rPr>
              <w:t xml:space="preserve">- w tym potrzeba ochrony wielodzietności</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20378AA9">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571AABD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2B4A75A2">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16</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71676C8F">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98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4D10ADCE">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60C5D71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79C658E0">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Bezrobocie</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5C54D9D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125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4D1B3812">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319</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64AAC41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120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36B515E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318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1E156E9A">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90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6DD991E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238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6370D071">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Niepełnosprawność</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3113C075">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73</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7DEEF03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119</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6D65D31F">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67</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5A3BACE8">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104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132AA0F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64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651F866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87</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78"/>
        </w:trPr>
        <w:tc>
          <w:tcPr>
            <w:tcBorders/>
            <w:tcW w:w="3193" w:type="dxa"/>
            <w:vAlign w:val="center"/>
          </w:tcPr>
          <w:p w14:paraId="3EEED0A9">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Długotrwała lub ciężka choroba</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089B0F5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5E16486F">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757C1BD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07AA104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54115DB7">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3</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30E4A28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883"/>
        </w:trPr>
        <w:tc>
          <w:tcPr>
            <w:tcBorders/>
            <w:tcW w:w="3193" w:type="dxa"/>
            <w:vAlign w:val="center"/>
          </w:tcPr>
          <w:p w14:paraId="3634A441">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Bezradność w sprawach opiekuńczo-wychowawczych i prowadzenia gospodarstwa domowego</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4BF45039">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0D56F7F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13</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78BFB25D">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36E0BF7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17A8FCB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65227060">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3E7E121C">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 </w:t>
            </w:r>
            <w:r>
              <w:rPr>
                <w:rFonts w:eastAsia="Times New Roman" w:cs="Calibri" w:cstheme="minorHAnsi"/>
                <w:color w:val="000000"/>
                <w:sz w:val="20"/>
                <w:szCs w:val="20"/>
                <w:lang w:val="pl-PL" w:eastAsia="pl-PL" w:bidi="ar-SA"/>
              </w:rPr>
              <w:t xml:space="preserve">- w tym rodziny niepełne</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64FB2AE4">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1C6378B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13</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38EEEE0E">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6CB513EE">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65DBE95B">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2</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47814912">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00"/>
        </w:trPr>
        <w:tc>
          <w:tcPr>
            <w:tcBorders/>
            <w:tcW w:w="3193" w:type="dxa"/>
            <w:vAlign w:val="center"/>
          </w:tcPr>
          <w:p w14:paraId="70512A4E">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 </w:t>
            </w:r>
            <w:r>
              <w:rPr>
                <w:rFonts w:eastAsia="Times New Roman" w:cs="Calibri" w:cstheme="minorHAnsi"/>
                <w:color w:val="000000"/>
                <w:sz w:val="20"/>
                <w:szCs w:val="20"/>
                <w:lang w:val="pl-PL" w:eastAsia="pl-PL" w:bidi="ar-SA"/>
              </w:rPr>
              <w:t xml:space="preserve">- w tym rodziny wielodzietne</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199DAFFC">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28899EF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56622B9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3A11EBE1">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57D70192">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57801FD0">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74BDA633">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Alkoholizm</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4CFE387A">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4</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75193EC6">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5</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54C3EEF0">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16E66C99">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41535CE0">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8</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530A9953">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r>
        <w:trPr>
          <w:trHeight w:val="341"/>
        </w:trPr>
        <w:tc>
          <w:tcPr>
            <w:tcBorders/>
            <w:tcW w:w="3193" w:type="dxa"/>
            <w:vAlign w:val="center"/>
          </w:tcPr>
          <w:p w14:paraId="27E71323">
            <w:pPr>
              <w:pStyle w:val="845"/>
              <w:widowControl w:val="true"/>
              <w:pBdr/>
              <w:spacing w:after="0" w:before="0" w:line="240" w:lineRule="auto"/>
              <w:ind/>
              <w:jc w:val="left"/>
              <w:rPr>
                <w:rFonts w:ascii="Calibri" w:hAnsi="Calibri" w:eastAsia="Times New Roman" w:cs="Calibri" w:asciiTheme="minorHAnsi" w:hAnsiTheme="minorHAnsi" w:cstheme="minorHAnsi"/>
                <w:b/>
                <w:color w:val="000000"/>
                <w:sz w:val="20"/>
              </w:rPr>
            </w:pPr>
            <w:r>
              <w:rPr>
                <w:rFonts w:eastAsia="Times New Roman" w:cs="Calibri" w:cstheme="minorHAnsi"/>
                <w:color w:val="000000"/>
                <w:sz w:val="20"/>
                <w:szCs w:val="20"/>
                <w:lang w:val="pl-PL" w:eastAsia="pl-PL" w:bidi="ar-SA"/>
              </w:rPr>
              <w:t xml:space="preserve">Narkomania</w:t>
            </w:r>
            <w:r>
              <w:rPr>
                <w:rFonts w:ascii="Calibri" w:hAnsi="Calibri" w:eastAsia="Times New Roman" w:cs="Calibri" w:asciiTheme="minorHAnsi" w:hAnsiTheme="minorHAnsi" w:cstheme="minorHAnsi"/>
                <w:b/>
                <w:color w:val="000000"/>
                <w:sz w:val="20"/>
              </w:rPr>
            </w:r>
            <w:r>
              <w:rPr>
                <w:rFonts w:ascii="Calibri" w:hAnsi="Calibri" w:eastAsia="Times New Roman" w:cs="Calibri" w:asciiTheme="minorHAnsi" w:hAnsiTheme="minorHAnsi" w:cstheme="minorHAnsi"/>
                <w:b/>
                <w:color w:val="000000"/>
                <w:sz w:val="20"/>
              </w:rPr>
            </w:r>
          </w:p>
        </w:tc>
        <w:tc>
          <w:tcPr>
            <w:tcBorders/>
            <w:tcW w:w="887" w:type="dxa"/>
            <w:vAlign w:val="center"/>
          </w:tcPr>
          <w:p w14:paraId="35704E89">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48" w:type="dxa"/>
            <w:vAlign w:val="center"/>
          </w:tcPr>
          <w:p w14:paraId="7C46D58A">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1</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841" w:type="dxa"/>
            <w:vAlign w:val="center"/>
          </w:tcPr>
          <w:p w14:paraId="7355B439">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95" w:type="dxa"/>
            <w:vAlign w:val="center"/>
          </w:tcPr>
          <w:p w14:paraId="46A3C160">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796" w:type="dxa"/>
            <w:vAlign w:val="center"/>
          </w:tcPr>
          <w:p w14:paraId="0E9F793F">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c>
          <w:tcPr>
            <w:tcBorders/>
            <w:tcW w:w="1066" w:type="dxa"/>
            <w:vAlign w:val="center"/>
          </w:tcPr>
          <w:p w14:paraId="22E6955A">
            <w:pPr>
              <w:pStyle w:val="845"/>
              <w:widowControl w:val="true"/>
              <w:pBdr/>
              <w:spacing w:after="0" w:before="0" w:line="240" w:lineRule="auto"/>
              <w:ind/>
              <w:jc w:val="center"/>
              <w:rPr>
                <w:rFonts w:ascii="Calibri" w:hAnsi="Calibri" w:eastAsia="Times New Roman" w:cs="Calibri" w:asciiTheme="minorHAnsi" w:hAnsiTheme="minorHAnsi" w:cstheme="minorHAnsi"/>
                <w:color w:val="000000"/>
                <w:sz w:val="20"/>
              </w:rPr>
            </w:pPr>
            <w:r>
              <w:rPr>
                <w:rFonts w:eastAsia="Times New Roman" w:cs="Calibri" w:cstheme="minorHAnsi"/>
                <w:color w:val="000000"/>
                <w:sz w:val="20"/>
                <w:szCs w:val="20"/>
                <w:lang w:val="pl-PL" w:eastAsia="pl-PL" w:bidi="ar-SA"/>
              </w:rPr>
              <w:t xml:space="preserve">0</w:t>
            </w:r>
            <w:r>
              <w:rPr>
                <w:rFonts w:ascii="Calibri" w:hAnsi="Calibri" w:eastAsia="Times New Roman" w:cs="Calibri" w:asciiTheme="minorHAnsi" w:hAnsiTheme="minorHAnsi" w:cstheme="minorHAnsi"/>
                <w:color w:val="000000"/>
                <w:sz w:val="20"/>
              </w:rPr>
            </w:r>
            <w:r>
              <w:rPr>
                <w:rFonts w:ascii="Calibri" w:hAnsi="Calibri" w:eastAsia="Times New Roman" w:cs="Calibri" w:asciiTheme="minorHAnsi" w:hAnsiTheme="minorHAnsi" w:cstheme="minorHAnsi"/>
                <w:color w:val="000000"/>
                <w:sz w:val="20"/>
              </w:rPr>
            </w:r>
          </w:p>
        </w:tc>
      </w:tr>
    </w:tbl>
    <w:p w14:paraId="7973347B">
      <w:pPr>
        <w:pStyle w:val="845"/>
        <w:pBdr/>
        <w:spacing w:after="160" w:before="60"/>
        <w:ind/>
        <w:rPr>
          <w:rStyle w:val="870"/>
        </w:rPr>
      </w:pPr>
      <w:r>
        <w:rPr>
          <w:rStyle w:val="870"/>
        </w:rPr>
        <w:t xml:space="preserve">Źródło: Opracowanie własne na podstawie danych GOPS.</w:t>
      </w:r>
      <w:r>
        <w:rPr>
          <w:rStyle w:val="870"/>
        </w:rPr>
      </w:r>
      <w:r>
        <w:rPr>
          <w:rStyle w:val="870"/>
        </w:rPr>
      </w:r>
    </w:p>
    <w:p w14:paraId="1F7E3289">
      <w:pPr>
        <w:pStyle w:val="845"/>
        <w:pBdr/>
        <w:spacing w:line="276" w:lineRule="auto"/>
        <w:ind/>
        <w:jc w:val="both"/>
        <w:rPr/>
      </w:pPr>
      <w:r>
        <w:t xml:space="preserve">Zgodnie z art. 7 ustawy o pomocy społecznej, pomoc ta udzi</w:t>
      </w:r>
      <w:r>
        <w:t xml:space="preserve">elana jest osobom i rodzinom </w:t>
        <w:br/>
        <w:t xml:space="preserve">w szczególności z następujących powodów: ubóstwo; sieroctwo; bezdomność; bezrobocie; długotrwała lub ciężka choroba; niepełnosprawność; przemoc domowa; potrzeba ochrony ofiar handlu ludźmi; potrzeba ochrony macierzyństwa lub w</w:t>
      </w:r>
      <w:r>
        <w:t xml:space="preserve">ielodzietności; bezradność </w:t>
        <w:br/>
        <w:t xml:space="preserve">w sprawach opiekuńczo-wychowawczych i prowadzenia gospodarstwa domowego, zwłaszcza w rodzinach niepełnych lub wielodzietnych; trudności w integracji cudzoziemców, którzy uzyskali w Rzeczypospolitej Polskiej status uchodźcy, ochr</w:t>
      </w:r>
      <w:r>
        <w:t xml:space="preserve">onę uzupełniającą lub zezwolenie na pobyt czasowy w związku z tymi okolicznościami; trudności w przystosowaniu do życia po zwolnieniu z zakładu karnego; alkoholizm lub narkomania; zdarzenie losowe i sytuacja kryzysowa oraz klęska żywiołowa lub ekologiczna.</w:t>
      </w:r>
      <w:r/>
    </w:p>
    <w:p w14:paraId="32AA92A9">
      <w:pPr>
        <w:pStyle w:val="845"/>
        <w:pBdr/>
        <w:spacing w:after="60" w:before="0" w:line="276" w:lineRule="auto"/>
        <w:ind/>
        <w:jc w:val="both"/>
        <w:rPr/>
      </w:pPr>
      <w:r>
        <w:t xml:space="preserve">Wśród głównych powodów udzielania pomocy społecznej przez GOPS w Braniewie w 2025 roku należy wskazać następujące: </w:t>
      </w:r>
      <w:r/>
    </w:p>
    <w:p w14:paraId="3E4B8C27">
      <w:pPr>
        <w:pStyle w:val="845"/>
        <w:numPr>
          <w:ilvl w:val="0"/>
          <w:numId w:val="7"/>
        </w:numPr>
        <w:pBdr/>
        <w:spacing w:after="0" w:before="0" w:line="276" w:lineRule="auto"/>
        <w:ind/>
        <w:rPr/>
      </w:pPr>
      <w:r>
        <w:t xml:space="preserve">ubóstwo – 146 rodzin (323 osoby w rodzinach); </w:t>
      </w:r>
      <w:r/>
    </w:p>
    <w:p w14:paraId="4204409D">
      <w:pPr>
        <w:pStyle w:val="845"/>
        <w:numPr>
          <w:ilvl w:val="0"/>
          <w:numId w:val="7"/>
        </w:numPr>
        <w:pBdr/>
        <w:spacing w:after="0" w:before="0" w:line="276" w:lineRule="auto"/>
        <w:ind/>
        <w:rPr/>
      </w:pPr>
      <w:r>
        <w:t xml:space="preserve">bezrobocie – 90 rodzin (238 osób);</w:t>
      </w:r>
      <w:r/>
    </w:p>
    <w:p w14:paraId="443C3370">
      <w:pPr>
        <w:pStyle w:val="845"/>
        <w:numPr>
          <w:ilvl w:val="0"/>
          <w:numId w:val="7"/>
        </w:numPr>
        <w:pBdr/>
        <w:spacing w:after="60" w:before="0" w:line="276" w:lineRule="auto"/>
        <w:ind/>
        <w:rPr/>
      </w:pPr>
      <w:r>
        <w:t xml:space="preserve">niepełnosprawność – 64 rodziny (87 osób);</w:t>
      </w:r>
      <w:r/>
    </w:p>
    <w:p w14:paraId="5CE6DB3B">
      <w:pPr>
        <w:pStyle w:val="845"/>
        <w:pBdr/>
        <w:spacing w:after="60" w:before="0" w:line="276" w:lineRule="auto"/>
        <w:ind/>
        <w:rPr/>
      </w:pPr>
      <w:r/>
      <w:r/>
    </w:p>
    <w:p w14:paraId="04A6D881">
      <w:pPr>
        <w:pStyle w:val="845"/>
        <w:pBdr/>
        <w:spacing w:after="60" w:before="0" w:line="276" w:lineRule="auto"/>
        <w:ind/>
        <w:rPr/>
      </w:pPr>
      <w:r/>
      <w:r/>
    </w:p>
    <w:p w14:paraId="25372EFA">
      <w:pPr>
        <w:pStyle w:val="845"/>
        <w:pBdr/>
        <w:spacing w:after="60" w:before="0" w:line="276" w:lineRule="auto"/>
        <w:ind/>
        <w:rPr/>
      </w:pPr>
      <w:r/>
      <w:r/>
    </w:p>
    <w:p w14:paraId="09139C51">
      <w:pPr>
        <w:pStyle w:val="845"/>
        <w:pBdr/>
        <w:spacing w:after="60" w:before="0" w:line="276" w:lineRule="auto"/>
        <w:ind/>
        <w:rPr/>
      </w:pPr>
      <w:r/>
      <w:r/>
    </w:p>
    <w:p w14:paraId="0A3ECA4C">
      <w:pPr>
        <w:pStyle w:val="845"/>
        <w:pBdr/>
        <w:spacing w:after="60" w:before="0" w:line="276" w:lineRule="auto"/>
        <w:ind/>
        <w:rPr/>
      </w:pPr>
      <w:r/>
      <w:r/>
    </w:p>
    <w:p w14:paraId="18F11177">
      <w:pPr>
        <w:pStyle w:val="845"/>
        <w:pBdr/>
        <w:spacing w:after="60" w:before="0" w:line="276" w:lineRule="auto"/>
        <w:ind/>
        <w:rPr/>
      </w:pPr>
      <w:r>
        <w:rPr>
          <w:highlight w:val="none"/>
        </w:rPr>
      </w:r>
      <w:r>
        <w:rPr>
          <w:highlight w:val="none"/>
        </w:rPr>
      </w:r>
      <w:r/>
    </w:p>
    <w:p w14:paraId="1A979F39">
      <w:pPr>
        <w:pStyle w:val="845"/>
        <w:pBdr/>
        <w:spacing w:line="276" w:lineRule="auto"/>
        <w:ind/>
        <w:jc w:val="both"/>
        <w:rPr>
          <w:highlight w:val="yellow"/>
        </w:rPr>
      </w:pPr>
      <w:r>
        <w:t xml:space="preserve">Pozostałe powody udzielania świadczeń pomocy społecznej w gminie występowały rzadziej lub wcale. W 2025 roku 8 rodzin (11 osób) otrzymało pomoc</w:t>
      </w:r>
      <w:r>
        <w:t xml:space="preserve"> z powodu alkoholizmu, 3 rodziny (4 osoby) z powodu długotrwałej lub ciężkiej choroby, 2 rodziny (10 osób) z powodu potrzeby ochrony macierzyństwa, 2 rodziny (4 osoby) z powodu bezradności w sprawach opiekuńczo-wychowawczych i 1 osoba z powodu bezdomności.</w:t>
      </w:r>
      <w:r>
        <w:rPr>
          <w:highlight w:val="yellow"/>
        </w:rPr>
      </w:r>
      <w:r>
        <w:rPr>
          <w:highlight w:val="yellow"/>
        </w:rPr>
      </w:r>
    </w:p>
    <w:p w14:paraId="79C3904E">
      <w:pPr>
        <w:pStyle w:val="847"/>
        <w:pBdr/>
        <w:spacing/>
        <w:ind/>
        <w:rPr/>
      </w:pPr>
      <w:r/>
      <w:bookmarkStart w:id="12" w:name="_Toc226230122"/>
      <w:r>
        <w:t xml:space="preserve">2.2. Usługi społeczne w kontekście wybranych grup</w:t>
      </w:r>
      <w:bookmarkEnd w:id="12"/>
      <w:r/>
      <w:r/>
    </w:p>
    <w:p w14:paraId="38F240B7">
      <w:pPr>
        <w:pStyle w:val="848"/>
        <w:pBdr/>
        <w:spacing/>
        <w:ind/>
        <w:rPr/>
      </w:pPr>
      <w:r/>
      <w:bookmarkStart w:id="13" w:name="_Toc226230123"/>
      <w:r>
        <w:t xml:space="preserve">2.2.1. Rodzina i dzieci</w:t>
      </w:r>
      <w:bookmarkEnd w:id="13"/>
      <w:r/>
      <w:r/>
    </w:p>
    <w:p w14:paraId="02A48687">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Rodzina jest naturalnym środowiskiem służącym opiece i wychowaniu dzieci. Wy</w:t>
      </w:r>
      <w:r>
        <w:rPr>
          <w:rFonts w:eastAsia="Calibri" w:cs="Times New Roman"/>
          <w14:ligatures w14:val="none"/>
        </w:rPr>
        <w:t xml:space="preserve">pełnia też szereg innych ważnych społecznie funkcji. Występujące na jej drodze trudności życiowe są sprawą oczywistą i prawdopodobnie nieuniknioną. Mogą pojawić się w razie problemów zawodowych, utraty pracy czy niedostatecznych dochodów. Mogą też być efek</w:t>
      </w:r>
      <w:r>
        <w:rPr>
          <w:rFonts w:eastAsia="Calibri" w:cs="Times New Roman"/>
          <w14:ligatures w14:val="none"/>
        </w:rPr>
        <w:t xml:space="preserve">tem konfliktów małżeńskich lub w związku osób dorosłych. Bardzo często ich źródłem są jednak problemy wychowawcze, wynikające z rozwoju dzieci, które na różnych etapach życia potrzebują odpowiedniej uwagi i mądrych oddziaływań wychowawczych. Rodzice i opie</w:t>
      </w:r>
      <w:r>
        <w:rPr>
          <w:rFonts w:eastAsia="Calibri" w:cs="Times New Roman"/>
          <w14:ligatures w14:val="none"/>
        </w:rPr>
        <w:t xml:space="preserve">kunowie wyposażeni w niezbędne kompetencje rodzicielskie, samodzielnie albo przy wsparciu ze strony krewnych, znajomych bądź przy okresowym wsparciu specjalistów potrafią radzić sobie z problemami a nawet sytuacjami kryzysowymi. Natomiast w rodzinie, w któ</w:t>
      </w:r>
      <w:r>
        <w:rPr>
          <w:rFonts w:eastAsia="Calibri" w:cs="Times New Roman"/>
          <w14:ligatures w14:val="none"/>
        </w:rPr>
        <w:t xml:space="preserve">rej kumulują się różne deficyty i zaniedbania opiekuńczo-wychowawcze, jak również problemy materialne </w:t>
        <w:br/>
        <w:t xml:space="preserve">i psychologiczne, przezwyciężenie sytuacji trudnych może okazać się niemożliwe bez długotrwałego i wielopoziomowego wsparcia ze strony służb społecznych.</w:t>
      </w:r>
      <w:r>
        <w:rPr>
          <w:rFonts w:ascii="Calibri" w:hAnsi="Calibri" w:eastAsia="Calibri" w:cs="Times New Roman"/>
          <w14:ligatures w14:val="none"/>
        </w:rPr>
      </w:r>
      <w:r>
        <w:rPr>
          <w:rFonts w:ascii="Calibri" w:hAnsi="Calibri" w:eastAsia="Calibri" w:cs="Times New Roman"/>
          <w14:ligatures w14:val="none"/>
        </w:rPr>
      </w:r>
    </w:p>
    <w:p w14:paraId="65CFCDBF">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 świetle danych Narodowego Spisu Powszechnego z 2021 roku w Gminie</w:t>
      </w:r>
      <w:r>
        <w:rPr>
          <w:rFonts w:eastAsia="Calibri" w:cs="Times New Roman"/>
          <w14:ligatures w14:val="none"/>
        </w:rPr>
        <w:t xml:space="preserve"> Braniewo zamieszkiwało wtedy 1 498 rodzin, wśród których były 322 rodziny z dziećmi, w tym 600 rodzin z jednym dzieckiem, 390 rodzin z dwojgiem dzieci, 139 rodzin z trojgiem dzieci oraz 47 rodzin z czworgiem i większą liczbą dzieci. Ogółem w rodzinach w g</w:t>
      </w:r>
      <w:r>
        <w:rPr>
          <w:rFonts w:eastAsia="Calibri" w:cs="Times New Roman"/>
          <w14:ligatures w14:val="none"/>
        </w:rPr>
        <w:t xml:space="preserve">minie było 2 000 dzieci, co oznacza, że na rodzinę przypadało 1,70 dzieci. Wśród rodzin były 923 małżeństwa, w tym 284 bez dzieci i 639 z dziećmi; 164 związki niesformalizowane, w tym 38 bez dzieci i 126 z dziećmi; 348 matek z dziećmi i 63 ojców z dziećmi.</w:t>
      </w:r>
      <w:r>
        <w:rPr>
          <w:rFonts w:ascii="Calibri" w:hAnsi="Calibri" w:eastAsia="Calibri" w:cs="Times New Roman"/>
          <w14:ligatures w14:val="none"/>
        </w:rPr>
      </w:r>
      <w:r>
        <w:rPr>
          <w:rFonts w:ascii="Calibri" w:hAnsi="Calibri" w:eastAsia="Calibri" w:cs="Times New Roman"/>
          <w14:ligatures w14:val="none"/>
        </w:rPr>
      </w:r>
    </w:p>
    <w:p w14:paraId="5A6F8C7A">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Wśród rodzin objętych pomocą społeczną w Gminie Braniewo</w:t>
      </w:r>
      <w:r>
        <w:rPr>
          <w:rFonts w:eastAsia="Calibri" w:cs="Times New Roman"/>
          <w14:ligatures w14:val="none"/>
        </w:rPr>
        <w:t xml:space="preserve"> w 2025 roku, rodziny z dziećmi stanowiły 27,4%. W 51 takich rodzinach funkcjonowały 223 osoby. Najwięcej było wśród nich rodzin z jednym dzieckiem (15), a następnie z trojgiem dzieci (14) oraz z dwojgiem (12). W 10 rodzinach było czworo lub więcej dzieci.</w:t>
      </w:r>
      <w:r>
        <w:rPr>
          <w:rFonts w:ascii="Calibri" w:hAnsi="Calibri" w:eastAsia="Calibri" w:cs="Times New Roman"/>
          <w14:ligatures w14:val="none"/>
        </w:rPr>
      </w:r>
      <w:r>
        <w:rPr>
          <w:rFonts w:ascii="Calibri" w:hAnsi="Calibri" w:eastAsia="Calibri" w:cs="Times New Roman"/>
          <w14:ligatures w14:val="none"/>
        </w:rPr>
      </w:r>
    </w:p>
    <w:p w14:paraId="29148D2D">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 porównaniu do 2023 roku liczba rodzin z dzieć</w:t>
      </w:r>
      <w:r>
        <w:rPr>
          <w:rFonts w:eastAsia="Calibri" w:cs="Times New Roman"/>
          <w14:ligatures w14:val="none"/>
        </w:rPr>
        <w:t xml:space="preserve">mi obejmowanych wsparciem zmniejszyła się o 27, a liczba osób w tych rodzinach o 88. W 2025 roku wsparciem obejmowano 16 rodzin niepełnych, w których żyło 46 osób. W porównaniu do 2023 roku liczba tych rodzin spadła </w:t>
        <w:br/>
        <w:t xml:space="preserve">o 13, a liczba osób w rodzinach – o 35.</w:t>
      </w:r>
      <w:r>
        <w:rPr>
          <w:rFonts w:ascii="Calibri" w:hAnsi="Calibri" w:eastAsia="Calibri" w:cs="Times New Roman"/>
          <w14:ligatures w14:val="none"/>
        </w:rPr>
      </w:r>
      <w:r>
        <w:rPr>
          <w:rFonts w:ascii="Calibri" w:hAnsi="Calibri" w:eastAsia="Calibri" w:cs="Times New Roman"/>
          <w14:ligatures w14:val="none"/>
        </w:rPr>
      </w:r>
    </w:p>
    <w:p w14:paraId="36CEF68B">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 Gminie Braniewo z powodu potrzeby ochrony macierzyństwa w 2025 roku pomocą społeczną obejmowano 2 rodziny (10 osób), co oznacza spade</w:t>
      </w:r>
      <w:r>
        <w:rPr>
          <w:rFonts w:eastAsia="Calibri" w:cs="Times New Roman"/>
          <w14:ligatures w14:val="none"/>
        </w:rPr>
        <w:t xml:space="preserve">k w porównaniu do 2023 roku o 3 rodziny i o 17 osób. Z powodu bezradności w sprawach opiekuńczo-wychowawczych i prowadzenia gospodarstwa domowego pomoc społeczną otrzymywały 2 rodziny (4 osoby), czyli o 2 rodziny i 9 osób w rodzinach mniej niż w 2023 roku.</w:t>
      </w:r>
      <w:r>
        <w:rPr>
          <w:rFonts w:ascii="Calibri" w:hAnsi="Calibri" w:eastAsia="Calibri" w:cs="Times New Roman"/>
          <w14:ligatures w14:val="none"/>
        </w:rPr>
      </w:r>
      <w:r>
        <w:rPr>
          <w:rFonts w:ascii="Calibri" w:hAnsi="Calibri" w:eastAsia="Calibri" w:cs="Times New Roman"/>
          <w14:ligatures w14:val="none"/>
        </w:rPr>
      </w:r>
    </w:p>
    <w:p w14:paraId="27C7E670">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Przemoc domowa w Gminie Braniewo jako powód korzystania z pomocy społecznej</w:t>
      </w:r>
      <w:r>
        <w:rPr>
          <w:rFonts w:eastAsia="Calibri" w:cs="Times New Roman"/>
          <w14:ligatures w14:val="none"/>
        </w:rPr>
        <w:t xml:space="preserve"> </w:t>
        <w:br/>
        <w:t xml:space="preserve">w perspektywie lat 2023-2025 nie występowała. Z danych Zespołu Interdyscyplinarnego wynika, że w 2025 roku wypełniono 6 formularzy „Niebieskie Karty – A”, natomiast w latach 2023-2024 było to po 8 formularzy. W 2025 roku kontynuowano 14 procedur z lat po</w:t>
      </w:r>
      <w:r>
        <w:rPr>
          <w:rFonts w:eastAsia="Calibri" w:cs="Times New Roman"/>
          <w14:ligatures w14:val="none"/>
        </w:rPr>
        <w:t xml:space="preserve">przednich, utworzono 8 nowych grup diagnostyczno-pomocowych, a łącznie funkcjonowały 22 takie grupy w ciągu roku. W tym czasie w ramach procedury pomocą objęto 28 osób doznających przemocy domowej, w tym 14 kobiet, 13 dzieci i 1 mężczyznę, a także 19 osób </w:t>
      </w:r>
      <w:r>
        <w:rPr>
          <w:rFonts w:eastAsia="Calibri" w:cs="Times New Roman"/>
          <w14:ligatures w14:val="none"/>
        </w:rPr>
        <w:t xml:space="preserve">stosujących przemoc, w tym 3 kobiety i 16 mężczyzn. W porównaniu do 2023 roku liczba osób doznających przemocy objętych wsparciem wzrosła o 16, a liczba osób stosujących przemoc zwiększyła się o 11. Osoby doznające przemocy najczęściej doznają jej w formie</w:t>
      </w:r>
      <w:r>
        <w:rPr>
          <w:rFonts w:eastAsia="Calibri" w:cs="Times New Roman"/>
          <w14:ligatures w14:val="none"/>
        </w:rPr>
        <w:t xml:space="preserve"> psychicznej (22 osoby w 2025 roku) oraz fizycznej (19 osób). Rzadziej jest to przemoc ekonomiczna (4 osoby) lub seksualna (2 osoby). W latach 2023-2025 łącznie zakończono 15 procedur NK, w tym 3 ze względu na brak zasadności podejmowania dalszych działań.</w:t>
      </w:r>
      <w:r>
        <w:rPr>
          <w:rFonts w:ascii="Calibri" w:hAnsi="Calibri" w:eastAsia="Calibri" w:cs="Times New Roman"/>
          <w14:ligatures w14:val="none"/>
        </w:rPr>
      </w:r>
      <w:r>
        <w:rPr>
          <w:rFonts w:ascii="Calibri" w:hAnsi="Calibri" w:eastAsia="Calibri" w:cs="Times New Roman"/>
          <w14:ligatures w14:val="none"/>
        </w:rPr>
      </w:r>
    </w:p>
    <w:p w14:paraId="2602656E">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 obszarze wspierania rodziny istotną rolę pełni asystent </w:t>
      </w:r>
      <w:r>
        <w:rPr>
          <w:rFonts w:eastAsia="Calibri" w:cs="Times New Roman"/>
          <w14:ligatures w14:val="none"/>
        </w:rPr>
        <w:t xml:space="preserve">rodziny, który realizując swoje zadania odpowiedzialny jest m.in. za bezpośrednią pracę z rodzicami oraz dziećmi, a także działania realizowane na rzecz dziecka i rodziny. W latach 2023-2025 ze wsparcia asystenta rodziny skorzystały corocznie po 3 rodziny.</w:t>
      </w:r>
      <w:r>
        <w:rPr>
          <w:rFonts w:ascii="Calibri" w:hAnsi="Calibri" w:eastAsia="Calibri" w:cs="Times New Roman"/>
          <w14:ligatures w14:val="none"/>
        </w:rPr>
      </w:r>
      <w:r>
        <w:rPr>
          <w:rFonts w:ascii="Calibri" w:hAnsi="Calibri" w:eastAsia="Calibri" w:cs="Times New Roman"/>
          <w14:ligatures w14:val="none"/>
        </w:rPr>
      </w:r>
    </w:p>
    <w:p w14:paraId="03529505">
      <w:pPr>
        <w:pStyle w:val="845"/>
        <w:pBdr/>
        <w:spacing w:after="60" w:before="0" w:line="276" w:lineRule="auto"/>
        <w:ind/>
        <w:jc w:val="both"/>
        <w:rPr/>
      </w:pPr>
      <w:r>
        <w:t xml:space="preserve">W sytuacji, gdy rodzi</w:t>
      </w:r>
      <w:r>
        <w:t xml:space="preserve">ny nie są w stanie, pomimo otrzymanego wsparcia asystenta, wypełniać swoich funkcji opiekuńczo-wychowawczych, a więc zapewnić potomstwu bezpieczeństwa, opieki i właściwego wychowania, dzieci mogą zostać odebrane rodzicom i umieszczone </w:t>
        <w:br/>
        <w:t xml:space="preserve">w pieczy zastępczej.</w:t>
      </w:r>
      <w:r>
        <w:rPr>
          <w:rFonts w:eastAsia="Calibri" w:cs="Times New Roman"/>
          <w14:ligatures w14:val="none"/>
        </w:rPr>
        <w:t xml:space="preserve"> </w:t>
      </w:r>
      <w:r>
        <w:t xml:space="preserve">W 2025 roku Gmina Braniewo finansowała pobyt 12 dzieci w pieczy zastępczej, w tym 8 dzieci umieszczonych w rodzinie zastępczej oraz 4 dzieci umieszczonych w placówkach opiekuńczo-wychowawczych. </w:t>
      </w:r>
      <w:r/>
    </w:p>
    <w:p w14:paraId="07422B44">
      <w:pPr>
        <w:pStyle w:val="848"/>
        <w:pBdr/>
        <w:spacing/>
        <w:ind/>
        <w:jc w:val="both"/>
        <w:rPr/>
      </w:pPr>
      <w:r/>
      <w:bookmarkStart w:id="14" w:name="_Toc226230124"/>
      <w:r>
        <w:t xml:space="preserve">2.2.2. Osoby starsze</w:t>
      </w:r>
      <w:bookmarkEnd w:id="14"/>
      <w:r>
        <w:t xml:space="preserve"> </w:t>
      </w:r>
      <w:r/>
    </w:p>
    <w:p w14:paraId="2F4F3456">
      <w:pPr>
        <w:pStyle w:val="845"/>
        <w:pBdr/>
        <w:spacing w:after="60" w:before="0" w:line="276" w:lineRule="auto"/>
        <w:ind/>
        <w:jc w:val="both"/>
        <w:rPr/>
      </w:pPr>
      <w:r>
        <w:t xml:space="preserve">Mieszkańcy gminy mogą wymagać wsparcia w codziennym funkcjonowaniu z uwagi na różne czynniki. Nacisk w diagnozie położony został na osoby, które doświadczają choroby bądź wymagają objęcia wsparciem z uwagi na wiek. </w:t>
      </w:r>
      <w:r>
        <w:rPr>
          <w:rFonts w:eastAsia="Calibri" w:cs="Times New Roman"/>
          <w14:ligatures w14:val="none"/>
        </w:rPr>
        <w:t xml:space="preserve">Według Światowej Organizacji Zdrowia, starość zaczyna się wraz z 60 rokiem życia i można ją podzielić na trzy etapy: do 74 r.ż. trwa wczesna starość, w przedziale 75-</w:t>
      </w:r>
      <w:r>
        <w:rPr>
          <w:rFonts w:eastAsia="Calibri" w:cs="Times New Roman"/>
          <w14:ligatures w14:val="none"/>
        </w:rPr>
        <w:t xml:space="preserve">89 lat jest starość pośrednia (lub wiek podeszły), zaś od 90 r.ż. można już mówić o długowieczności lub późnej starości. Jednak pierwsze zmiany biologiczne, które oznaczają początek starości, zaczynają się w organizmie ludzkim już po czterdziestce. To wted</w:t>
      </w:r>
      <w:r>
        <w:rPr>
          <w:rFonts w:eastAsia="Calibri" w:cs="Times New Roman"/>
          <w14:ligatures w14:val="none"/>
        </w:rPr>
        <w:t xml:space="preserve">y słabnie zdrowotność oraz obniża się sprawność, rośnie zagrożenie przewlekłą chorobą i niepełnosprawnością. W wieku starszym te zmiany się nasilają – spada stężenie hormonów, spowalniają się funkcje poznawcze, motoryczne i pamięć, zaś występujące schorze</w:t>
      </w:r>
      <w:r>
        <w:rPr>
          <w:rFonts w:eastAsia="Calibri" w:cs="Times New Roman"/>
          <w14:ligatures w14:val="none"/>
        </w:rPr>
        <w:t xml:space="preserve">nia dotyczą najczęściej układu krążenia, zmian nowotworowych, jest to także cukrzyca typu 2 i choroby układu kostno-stawowego. Osłabieniu ulega system immunologiczny, zdolność regeneracji po wysiłku oraz przystosowywanie się organizmu do zmiennych warunków</w:t>
      </w:r>
      <w:r>
        <w:rPr>
          <w:rStyle w:val="877"/>
          <w:rFonts w:eastAsia="Calibri" w:cs="Times New Roman"/>
          <w:vertAlign w:val="superscript"/>
          <w14:ligatures w14:val="none"/>
        </w:rPr>
        <w:footnoteReference w:id="4"/>
      </w:r>
      <w:r>
        <w:rPr>
          <w:rFonts w:eastAsia="Calibri" w:cs="Times New Roman"/>
          <w14:ligatures w14:val="none"/>
        </w:rPr>
        <w:t xml:space="preserve">.  </w:t>
      </w:r>
      <w:r/>
    </w:p>
    <w:p w14:paraId="0B8F6EFB">
      <w:pPr>
        <w:pStyle w:val="845"/>
        <w:pBdr/>
        <w:spacing w:after="60" w:before="0" w:line="276" w:lineRule="auto"/>
        <w:ind/>
        <w:jc w:val="both"/>
        <w:rPr/>
      </w:pPr>
      <w:r>
        <w:t xml:space="preserve">Struktura demograficzna Gminy Braniewo wskazuje na postępujący proces starzenia się mieszkańców. W 2024 roku osoby w wieku 70 lat i więcej, w liczbie 556, stanowiły 10,4% ogółu mieszkańców, a osoby w w</w:t>
      </w:r>
      <w:r>
        <w:t xml:space="preserve">ieku 85 lat i więcej to 1,5%.  Liczby te mogą nie wydawać się bardzo duże w odniesieniu do ogólnej liczby mieszkańców, jednak należy pamiętać, że są to osoby, które w najbliższych latach mogą coraz bardziej potrzebować wsparcia w codziennym funkcjonowaniu.</w:t>
      </w:r>
      <w:r/>
    </w:p>
    <w:p w14:paraId="4F92B099">
      <w:pPr>
        <w:pStyle w:val="845"/>
        <w:pBdr/>
        <w:spacing w:after="60" w:before="0" w:line="276" w:lineRule="auto"/>
        <w:ind/>
        <w:jc w:val="both"/>
        <w:rPr>
          <w:rFonts w:ascii="Calibri" w:hAnsi="Calibri" w:eastAsia="Calibri" w:cs="Times New Roman"/>
          <w14:ligatures w14:val="none"/>
        </w:rPr>
      </w:pPr>
      <w:r>
        <w:rPr>
          <w:rFonts w:eastAsia="Calibri" w:cs="Times New Roman"/>
          <w:highlight w:val="none"/>
          <w14:ligatures w14:val="none"/>
        </w:rPr>
      </w:r>
      <w:r>
        <w:rPr>
          <w:rFonts w:eastAsia="Calibri" w:cs="Times New Roman"/>
          <w:highlight w:val="none"/>
          <w14:ligatures w14:val="none"/>
        </w:rPr>
      </w:r>
      <w:r>
        <w:rPr>
          <w:rFonts w:ascii="Calibri" w:hAnsi="Calibri" w:eastAsia="Calibri" w:cs="Times New Roman"/>
          <w14:ligatures w14:val="none"/>
        </w:rPr>
      </w:r>
    </w:p>
    <w:p w14:paraId="23CD03CC">
      <w:pPr>
        <w:pStyle w:val="845"/>
        <w:pBdr/>
        <w:spacing w:after="60" w:before="0" w:line="276" w:lineRule="auto"/>
        <w:ind/>
        <w:jc w:val="both"/>
        <w:rPr>
          <w:rFonts w:eastAsia="Calibri" w:cs="Times New Roman"/>
          <w:highlight w:val="none"/>
          <w14:ligatures w14:val="none"/>
        </w:rPr>
      </w:pPr>
      <w:r>
        <w:rPr>
          <w:rFonts w:eastAsia="Calibri" w:cs="Times New Roman"/>
          <w:highlight w:val="none"/>
          <w14:ligatures w14:val="none"/>
        </w:rPr>
      </w:r>
      <w:r>
        <w:rPr>
          <w:rFonts w:eastAsia="Calibri" w:cs="Times New Roman"/>
          <w:highlight w:val="none"/>
          <w14:ligatures w14:val="none"/>
        </w:rPr>
      </w:r>
      <w:r>
        <w:rPr>
          <w:rFonts w:eastAsia="Calibri" w:cs="Times New Roman"/>
          <w:highlight w:val="none"/>
          <w14:ligatures w14:val="none"/>
        </w:rPr>
      </w:r>
    </w:p>
    <w:p w14:paraId="4E50C544">
      <w:pPr>
        <w:pStyle w:val="845"/>
        <w:pBdr/>
        <w:spacing w:after="60" w:before="0" w:line="276" w:lineRule="auto"/>
        <w:ind/>
        <w:jc w:val="both"/>
        <w:rPr>
          <w:rFonts w:eastAsia="Calibri" w:cs="Times New Roman"/>
          <w:highlight w:val="none"/>
          <w14:ligatures w14:val="none"/>
        </w:rPr>
      </w:pPr>
      <w:r>
        <w:rPr>
          <w:rFonts w:eastAsia="Calibri" w:cs="Times New Roman"/>
          <w:highlight w:val="none"/>
          <w14:ligatures w14:val="none"/>
        </w:rPr>
      </w:r>
      <w:r>
        <w:rPr>
          <w:rFonts w:eastAsia="Calibri" w:cs="Times New Roman"/>
          <w:highlight w:val="none"/>
          <w14:ligatures w14:val="none"/>
        </w:rPr>
      </w:r>
      <w:r>
        <w:rPr>
          <w:rFonts w:eastAsia="Calibri" w:cs="Times New Roman"/>
          <w:highlight w:val="none"/>
          <w14:ligatures w14:val="none"/>
        </w:rPr>
      </w:r>
    </w:p>
    <w:p w14:paraId="072F1D5A">
      <w:pPr>
        <w:pStyle w:val="845"/>
        <w:pBdr/>
        <w:spacing w:after="60" w:before="0" w:line="276" w:lineRule="auto"/>
        <w:ind/>
        <w:jc w:val="both"/>
        <w:rPr>
          <w:rFonts w:eastAsia="Calibri" w:cs="Times New Roman"/>
          <w:highlight w:val="none"/>
          <w14:ligatures w14:val="none"/>
        </w:rPr>
      </w:pPr>
      <w:r>
        <w:rPr>
          <w:rFonts w:eastAsia="Calibri" w:cs="Times New Roman"/>
          <w14:ligatures w14:val="none"/>
        </w:rPr>
        <w:t xml:space="preserve">W świetle statystyk GOPS w Braniewie w 2025 roku pomocą społeczną objętych było 7 rodzin emerytów i rencistów, w których funkcjonowało 14 osó</w:t>
      </w:r>
      <w:r>
        <w:rPr>
          <w:rFonts w:eastAsia="Calibri" w:cs="Times New Roman"/>
          <w14:ligatures w14:val="none"/>
        </w:rPr>
        <w:t xml:space="preserve">b, przy czym 3 rodziny były jednoosobowe, 2 rodziny dwuosobowe i 2 rodziny trzyosobowych i o większej liczbie członków. W porównaniu do 2023 roku liczba rodzin emerytów i rencistów objętych pomocą społeczną wzrosła o 3, a liczba osób w tym rodzinach – o 6.</w:t>
      </w:r>
      <w:r>
        <w:rPr>
          <w:rFonts w:ascii="Calibri" w:hAnsi="Calibri" w:eastAsia="Calibri" w:cs="Times New Roman"/>
          <w14:ligatures w14:val="none"/>
        </w:rPr>
      </w:r>
      <w:r>
        <w:rPr>
          <w:rFonts w:eastAsia="Calibri" w:cs="Times New Roman"/>
          <w:highlight w:val="none"/>
          <w14:ligatures w14:val="none"/>
        </w:rPr>
      </w:r>
    </w:p>
    <w:p w14:paraId="74A572F0">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Seniorzy z różnych względów są bardziej narażen</w:t>
      </w:r>
      <w:r>
        <w:rPr>
          <w:rFonts w:eastAsia="Calibri" w:cs="Times New Roman"/>
          <w14:ligatures w14:val="none"/>
        </w:rPr>
        <w:t xml:space="preserve">i na samotność i izolację społeczną niż inne grupy wiekowe. Dotyczy to zwłaszcza kobiet, których długość życia jest dłuższa niż mężczyzn. Po śmierci współmałżonka oraz usamodzielnieniu się dzieci, osoba starsza pozostaje sama </w:t>
        <w:br/>
        <w:t xml:space="preserve">w miejscu zamieszkania. Nie m</w:t>
      </w:r>
      <w:r>
        <w:rPr>
          <w:rFonts w:eastAsia="Calibri" w:cs="Times New Roman"/>
          <w14:ligatures w14:val="none"/>
        </w:rPr>
        <w:t xml:space="preserve">ając żadnego obowiązku społecznego w postaci np. nauki lub pracy, ani oparcia w rodzinie czy w otoczeniu sąsiedzkim, w obliczu rosnących problemów zdrowotnych, barier finansowych oraz malejących kontaktów społecznych, może stracić sens życia, popaść w depr</w:t>
      </w:r>
      <w:r>
        <w:rPr>
          <w:rFonts w:eastAsia="Calibri" w:cs="Times New Roman"/>
          <w14:ligatures w14:val="none"/>
        </w:rPr>
        <w:t xml:space="preserve">esję. Osoby przewlekle chorujące oraz osoby starsze i ich rodziny często w większym stopniu niż inni członkowie społeczności lokalnej narażone są na ubóstwo </w:t>
        <w:br/>
        <w:t xml:space="preserve">i wykluczenie. Mogą doświadczać odrzucenia zarówno w wymiarze personalnym, przez środowisko społec</w:t>
      </w:r>
      <w:r>
        <w:rPr>
          <w:rFonts w:eastAsia="Calibri" w:cs="Times New Roman"/>
          <w14:ligatures w14:val="none"/>
        </w:rPr>
        <w:t xml:space="preserve">zne, jak i na gruncie zawodowym. W rodzinac</w:t>
      </w:r>
      <w:r>
        <w:rPr>
          <w:rFonts w:eastAsia="Calibri" w:cs="Times New Roman"/>
          <w14:ligatures w14:val="none"/>
        </w:rPr>
        <w:t xml:space="preserve">h nierzadko nasilają się też problemy związane z godzeniem pracy zarobkowej i innych obowiązków, a także przemęczenie i wypalenie osoby bliskiej sprawującej opiekę nad osobą chorującą lub                                             z niepełnosprawnościami.</w:t>
      </w:r>
      <w:r>
        <w:rPr>
          <w:rFonts w:ascii="Calibri" w:hAnsi="Calibri" w:eastAsia="Calibri" w:cs="Times New Roman"/>
          <w14:ligatures w14:val="none"/>
        </w:rPr>
      </w:r>
      <w:r>
        <w:rPr>
          <w:rFonts w:ascii="Calibri" w:hAnsi="Calibri" w:eastAsia="Calibri" w:cs="Times New Roman"/>
          <w14:ligatures w14:val="none"/>
        </w:rPr>
      </w:r>
    </w:p>
    <w:p w14:paraId="23EC06A0">
      <w:pPr>
        <w:pStyle w:val="845"/>
        <w:pBdr/>
        <w:spacing w:after="60" w:before="0" w:line="276" w:lineRule="auto"/>
        <w:ind/>
        <w:jc w:val="both"/>
        <w:rPr>
          <w:rFonts w:ascii="Calibri" w:hAnsi="Calibri" w:eastAsia="Calibri" w:cs="Times New Roman"/>
          <w:highlight w:val="yellow"/>
          <w14:ligatures w14:val="none"/>
        </w:rPr>
      </w:pPr>
      <w:r>
        <w:rPr>
          <w:rFonts w:eastAsia="Calibri" w:cs="Times New Roman"/>
          <w14:ligatures w14:val="none"/>
        </w:rPr>
        <w:t xml:space="preserve">Jednym z podstawowych zadań gminy w zakresie wsparcia osób i rodzin, które doświadczają problemu niepełnosprawności oraz ciężkiej i/lub przewlekłej choroby, </w:t>
      </w:r>
      <w:r>
        <w:rPr>
          <w:rFonts w:eastAsia="Calibri" w:cs="Times New Roman"/>
          <w14:ligatures w14:val="none"/>
        </w:rPr>
        <w:t xml:space="preserve">są usługi opiekuńcze oraz specjalistyczne usługi opiekuńcze. Mogą one zostać przyznane osobie samotnej, która </w:t>
        <w:br/>
        <w:t xml:space="preserve">z powodu wieku, choroby lub innych przyczyn wymaga pomocy innych osób, a jest jej pozbawiona. Usługi przyznawane są także osobom pozostającym w r</w:t>
      </w:r>
      <w:r>
        <w:rPr>
          <w:rFonts w:eastAsia="Calibri" w:cs="Times New Roman"/>
          <w14:ligatures w14:val="none"/>
        </w:rPr>
        <w:t xml:space="preserve">odzinach, gdy rodzina nie jest sama w stanie zaspokoić potrzeb w zakresie opieki. W 2025 roku pomoc w postaci usług opiekuńczych otrzymywały 2 osoby, a w latach 2023-2024 jedna osoba. Łączny kwota wypłaconych świadczeń w latach 2023-2025 wyniosła 6 384 zł.</w:t>
      </w:r>
      <w:r>
        <w:rPr>
          <w:rFonts w:ascii="Calibri" w:hAnsi="Calibri" w:eastAsia="Calibri" w:cs="Times New Roman"/>
          <w:highlight w:val="yellow"/>
          <w14:ligatures w14:val="none"/>
        </w:rPr>
      </w:r>
      <w:r>
        <w:rPr>
          <w:rFonts w:ascii="Calibri" w:hAnsi="Calibri" w:eastAsia="Calibri" w:cs="Times New Roman"/>
          <w:highlight w:val="yellow"/>
          <w14:ligatures w14:val="none"/>
        </w:rPr>
      </w:r>
    </w:p>
    <w:p w14:paraId="383CBFDE">
      <w:pPr>
        <w:pStyle w:val="845"/>
        <w:pBdr/>
        <w:spacing w:after="60" w:before="0" w:line="276" w:lineRule="auto"/>
        <w:ind/>
        <w:jc w:val="both"/>
        <w:rPr>
          <w:rFonts w:ascii="Calibri" w:hAnsi="Calibri" w:eastAsia="Calibri" w:cs="Times New Roman"/>
          <w:highlight w:val="yellow"/>
          <w14:ligatures w14:val="none"/>
        </w:rPr>
      </w:pPr>
      <w:r>
        <w:rPr>
          <w:rFonts w:eastAsia="Calibri" w:cs="Times New Roman"/>
          <w14:ligatures w14:val="none"/>
        </w:rPr>
        <w:t xml:space="preserve">Osoby wymagające całodobowej opieki z powodu wieku, choroby lub niepełnosprawności, niemogące samodzielnie funkcjonować w codziennym życiu, którym nie można zapewnić niezbędnej pomocy w formie usług o</w:t>
      </w:r>
      <w:r>
        <w:rPr>
          <w:rFonts w:eastAsia="Calibri" w:cs="Times New Roman"/>
          <w14:ligatures w14:val="none"/>
        </w:rPr>
        <w:t xml:space="preserve">piekuńczych, przysługuje prawo do umieszczenia w domu pomocy społecznej. W latach 2024- 2025 roku w DPS w przebywało 11 mieszkańców gminy, a w 2023 roku – 9 osób. Koszt pobytu mieszkańców w DPS ponoszony przez gminę w latach 2023-2025 wyniósł 1 597 141 zł.</w:t>
      </w:r>
      <w:r>
        <w:rPr>
          <w:rFonts w:ascii="Calibri" w:hAnsi="Calibri" w:eastAsia="Calibri" w:cs="Times New Roman"/>
          <w:highlight w:val="yellow"/>
          <w14:ligatures w14:val="none"/>
        </w:rPr>
      </w:r>
      <w:r>
        <w:rPr>
          <w:rFonts w:ascii="Calibri" w:hAnsi="Calibri" w:eastAsia="Calibri" w:cs="Times New Roman"/>
          <w:highlight w:val="yellow"/>
          <w14:ligatures w14:val="none"/>
        </w:rPr>
      </w:r>
    </w:p>
    <w:p w14:paraId="4C0ABDAF">
      <w:pPr>
        <w:pStyle w:val="848"/>
        <w:pBdr/>
        <w:spacing/>
        <w:ind/>
        <w:jc w:val="both"/>
        <w:rPr>
          <w:rFonts w:eastAsia="Calibri"/>
        </w:rPr>
      </w:pPr>
      <w:r/>
      <w:bookmarkStart w:id="15" w:name="_Toc226230125"/>
      <w:r>
        <w:rPr>
          <w:rFonts w:eastAsia="Calibri"/>
        </w:rPr>
        <w:t xml:space="preserve">2.2.3. Osoby z niepełnosprawnościami</w:t>
      </w:r>
      <w:bookmarkEnd w:id="15"/>
      <w:r>
        <w:rPr>
          <w:rFonts w:eastAsia="Calibri"/>
        </w:rPr>
      </w:r>
      <w:r>
        <w:rPr>
          <w:rFonts w:eastAsia="Calibri"/>
        </w:rPr>
      </w:r>
    </w:p>
    <w:p w14:paraId="209850A9">
      <w:pPr>
        <w:pStyle w:val="845"/>
        <w:pBdr/>
        <w:spacing w:after="60" w:before="0" w:line="276" w:lineRule="auto"/>
        <w:ind/>
        <w:jc w:val="both"/>
        <w:rPr>
          <w:rFonts w:eastAsia="Calibri" w:cs="Times New Roman"/>
          <w14:ligatures w14:val="none"/>
        </w:rPr>
      </w:pPr>
      <w:r>
        <w:rPr>
          <w:rFonts w:eastAsia="Calibri" w:cs="Times New Roman"/>
          <w14:ligatures w14:val="none"/>
        </w:rPr>
        <w:t xml:space="preserve">Osoby z niepełnosprawnościami nierzadko mierzą się w codziennym funkcjonowaniu </w:t>
        <w:br/>
        <w:t xml:space="preserve">z trudnościami, takimi jak omówione w</w:t>
      </w:r>
      <w:r>
        <w:rPr>
          <w:rFonts w:eastAsia="Calibri" w:cs="Times New Roman"/>
          <w14:ligatures w14:val="none"/>
        </w:rPr>
        <w:t xml:space="preserve"> podrozdziale dotyczącym osób starszych. Dodatkowo w przypadku niektórych rodzajów niepełnosprawności istotne są bariery architektoniczne, techniczne oraz w komunikowaniu się, przez co uczestnictwo osób ich doświadczających </w:t>
        <w:br/>
        <w:t xml:space="preserve">w życiu społecznym jest utrudni</w:t>
      </w:r>
      <w:r>
        <w:rPr>
          <w:rFonts w:eastAsia="Calibri" w:cs="Times New Roman"/>
          <w14:ligatures w14:val="none"/>
        </w:rPr>
        <w:t xml:space="preserve">one. Ponadto jednym z częściej doświadczanych problemów jest niedostatek środków finansowych oraz niewystarczający dostęp do opieki zdrowotnej </w:t>
        <w:br/>
        <w:t xml:space="preserve">i rehabilitacji. Wyzwanie stanowi też aktywizacja zawodowa osób z niepełnosprawnościami, zarówno biernych zawodo</w:t>
      </w:r>
      <w:r>
        <w:rPr>
          <w:rFonts w:eastAsia="Calibri" w:cs="Times New Roman"/>
          <w14:ligatures w14:val="none"/>
        </w:rPr>
        <w:t xml:space="preserve">wo, jak i bezrobotnych, w tym zarejestrowanych w urzędzie pracy. Potrzeby tych osób są bardzo zróżnicowane z uwagi m.in. na zróżnicowanie samej grupy. </w:t>
      </w:r>
      <w:r>
        <w:rPr>
          <w:rFonts w:ascii="Calibri" w:hAnsi="Calibri" w:eastAsia="Calibri" w:cs="Times New Roman"/>
          <w:highlight w:val="yellow"/>
          <w14:ligatures w14:val="none"/>
        </w:rPr>
      </w:r>
      <w:r>
        <w:rPr>
          <w:rFonts w:eastAsia="Calibri" w:cs="Times New Roman"/>
          <w14:ligatures w14:val="none"/>
        </w:rPr>
      </w:r>
    </w:p>
    <w:p w14:paraId="0DAB310F">
      <w:pPr>
        <w:pStyle w:val="845"/>
        <w:pBdr/>
        <w:spacing w:after="60" w:before="0" w:line="276" w:lineRule="auto"/>
        <w:ind/>
        <w:jc w:val="both"/>
        <w:rPr>
          <w:rFonts w:ascii="Calibri" w:hAnsi="Calibri" w:eastAsia="Calibri" w:cs="Times New Roman"/>
          <w:highlight w:val="yellow"/>
          <w14:ligatures w14:val="none"/>
        </w:rPr>
      </w:pPr>
      <w:r>
        <w:rPr>
          <w:rFonts w:eastAsia="Calibri" w:cs="Times New Roman"/>
          <w:highlight w:val="none"/>
          <w14:ligatures w14:val="none"/>
        </w:rPr>
      </w:r>
      <w:r>
        <w:rPr>
          <w:rFonts w:eastAsia="Calibri" w:cs="Times New Roman"/>
          <w:highlight w:val="none"/>
          <w14:ligatures w14:val="none"/>
        </w:rPr>
      </w:r>
      <w:r>
        <w:rPr>
          <w:rFonts w:ascii="Calibri" w:hAnsi="Calibri" w:eastAsia="Calibri" w:cs="Times New Roman"/>
          <w:highlight w:val="yellow"/>
          <w14:ligatures w14:val="none"/>
        </w:rPr>
      </w:r>
    </w:p>
    <w:p w14:paraId="7CBE796A">
      <w:pPr>
        <w:pStyle w:val="845"/>
        <w:pBdr/>
        <w:spacing w:after="60" w:before="0" w:line="276" w:lineRule="auto"/>
        <w:ind/>
        <w:jc w:val="both"/>
        <w:rPr>
          <w:rFonts w:eastAsia="Calibri" w:cs="Times New Roman"/>
          <w:highlight w:val="none"/>
          <w14:ligatures w14:val="none"/>
        </w:rPr>
      </w:pPr>
      <w:r>
        <w:rPr>
          <w:rFonts w:eastAsia="Calibri" w:cs="Times New Roman"/>
          <w:highlight w:val="none"/>
          <w14:ligatures w14:val="none"/>
        </w:rPr>
      </w:r>
      <w:r>
        <w:rPr>
          <w:rFonts w:eastAsia="Calibri" w:cs="Times New Roman"/>
          <w:highlight w:val="none"/>
          <w14:ligatures w14:val="none"/>
        </w:rPr>
      </w:r>
      <w:r>
        <w:rPr>
          <w:rFonts w:eastAsia="Calibri" w:cs="Times New Roman"/>
          <w:highlight w:val="none"/>
          <w14:ligatures w14:val="none"/>
        </w:rPr>
      </w:r>
    </w:p>
    <w:p w14:paraId="666B562E">
      <w:pPr>
        <w:pStyle w:val="845"/>
        <w:pBdr/>
        <w:spacing w:after="60" w:before="0" w:line="276" w:lineRule="auto"/>
        <w:ind/>
        <w:jc w:val="both"/>
        <w:rPr>
          <w:rFonts w:eastAsia="Calibri" w:cs="Times New Roman"/>
          <w:highlight w:val="none"/>
          <w14:ligatures w14:val="none"/>
        </w:rPr>
      </w:pPr>
      <w:r>
        <w:rPr>
          <w:rFonts w:eastAsia="Calibri" w:cs="Times New Roman"/>
          <w:highlight w:val="none"/>
          <w14:ligatures w14:val="none"/>
        </w:rPr>
      </w:r>
      <w:r>
        <w:rPr>
          <w:rFonts w:eastAsia="Calibri" w:cs="Times New Roman"/>
          <w:highlight w:val="none"/>
          <w14:ligatures w14:val="none"/>
        </w:rPr>
      </w:r>
      <w:r>
        <w:rPr>
          <w:rFonts w:eastAsia="Calibri" w:cs="Times New Roman"/>
          <w:highlight w:val="none"/>
          <w14:ligatures w14:val="none"/>
        </w:rPr>
      </w:r>
    </w:p>
    <w:p w14:paraId="447A6E53">
      <w:pPr>
        <w:pStyle w:val="845"/>
        <w:pBdr/>
        <w:spacing w:after="60" w:before="0" w:line="276" w:lineRule="auto"/>
        <w:ind/>
        <w:jc w:val="both"/>
        <w:rPr>
          <w:rFonts w:eastAsia="Calibri" w:cs="Times New Roman"/>
          <w:highlight w:val="none"/>
          <w14:ligatures w14:val="none"/>
        </w:rPr>
      </w:pPr>
      <w:r>
        <w:rPr>
          <w:rFonts w:eastAsia="Calibri" w:cs="Times New Roman"/>
          <w14:ligatures w14:val="none"/>
        </w:rPr>
        <w:t xml:space="preserve">Mówiąc o osobach z niepełnosprawnościami mówimy zarówno o osobach starszych, jak </w:t>
        <w:br/>
        <w:t xml:space="preserve">i dzieciach, młodzieży </w:t>
      </w:r>
      <w:r>
        <w:rPr>
          <w:rFonts w:eastAsia="Calibri" w:cs="Times New Roman"/>
          <w14:ligatures w14:val="none"/>
        </w:rPr>
        <w:t xml:space="preserve">oraz osobach w wieku aktywności zawodowej. Są w tej grupie osoby </w:t>
        <w:br/>
        <w:t xml:space="preserve">z niepełnosprawnością intelektualną i fizyczną, taką która powoduje konieczność zapewnienia wsparcia w codziennym funkcjonowaniu i taką, która nie wpływa w większym stopniu na samodzielność.</w:t>
      </w:r>
      <w:r>
        <w:rPr>
          <w:rFonts w:ascii="Calibri" w:hAnsi="Calibri" w:eastAsia="Calibri" w:cs="Times New Roman"/>
          <w:highlight w:val="yellow"/>
          <w14:ligatures w14:val="none"/>
        </w:rPr>
      </w:r>
      <w:r>
        <w:rPr>
          <w:rFonts w:eastAsia="Calibri" w:cs="Times New Roman"/>
          <w:highlight w:val="none"/>
          <w14:ligatures w14:val="none"/>
        </w:rPr>
      </w:r>
    </w:p>
    <w:p w14:paraId="4645E155">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W świetle danych Narodowego Spisu Powszechnego z 2021 roku Gminę Braniewo zamieszkiwało wtedy 989 osób z niepełnosprawnościami, w tym 514 kobiet (52,0%) oraz 475 mężczyzn (48,0%). </w:t>
      </w:r>
      <w:r>
        <w:rPr>
          <w:rFonts w:eastAsia="Calibri" w:cs="Times New Roman"/>
          <w14:ligatures w14:val="none"/>
        </w:rPr>
        <w:t xml:space="preserve">Spośród tych osób 681 (68,9%) to osoby niepełnosprawne prawnie, czyli posiadające odpowiednie orzeczenie wydane przez organ do tego uprawniony. Taka osoba może, ale nie musi, poza odpowiednim orzeczeniem posiadać ograniczenia sprawności </w:t>
        <w:br/>
        <w:t xml:space="preserve">w wykonywaniu codz</w:t>
      </w:r>
      <w:r>
        <w:rPr>
          <w:rFonts w:eastAsia="Calibri" w:cs="Times New Roman"/>
          <w14:ligatures w14:val="none"/>
        </w:rPr>
        <w:t xml:space="preserve">iennych czynności. Wśród osób z niepełnosprawnościami 308 (31,1%) to osoby niepełnosprawne tylko biologicznie, czyli posiadające wyłącznie ograniczenia sprawności w wykonywaniu codziennych czynności, jednak nie posiadające orzeczenia </w:t>
        <w:br/>
        <w:t xml:space="preserve">o niepełnosprawności.</w:t>
      </w:r>
      <w:r>
        <w:rPr>
          <w:rFonts w:ascii="Calibri" w:hAnsi="Calibri" w:eastAsia="Calibri" w:cs="Times New Roman"/>
          <w14:ligatures w14:val="none"/>
        </w:rPr>
      </w:r>
      <w:r>
        <w:rPr>
          <w:rFonts w:ascii="Calibri" w:hAnsi="Calibri" w:eastAsia="Calibri" w:cs="Times New Roman"/>
          <w14:ligatures w14:val="none"/>
        </w:rPr>
      </w:r>
    </w:p>
    <w:p w14:paraId="370DCCA3">
      <w:pPr>
        <w:pStyle w:val="845"/>
        <w:pBdr/>
        <w:spacing w:after="60" w:before="0" w:line="276" w:lineRule="auto"/>
        <w:ind/>
        <w:jc w:val="both"/>
        <w:rPr>
          <w:rFonts w:ascii="Calibri" w:hAnsi="Calibri" w:eastAsia="Calibri" w:cs="Times New Roman"/>
          <w14:ligatures w14:val="none"/>
        </w:rPr>
      </w:pPr>
      <w:r>
        <w:rPr>
          <w:rFonts w:eastAsia="Calibri" w:cs="Times New Roman"/>
          <w14:ligatures w14:val="none"/>
        </w:rPr>
        <w:t xml:space="preserve">Niepełnosprawność członka rodziny w 2025 roku była powodem wsparcia 64 rodzin z terenu gminy, w których funkcjonowało 87 osób. Liczba tych rodzin w latach 2023-2025 spadła </w:t>
        <w:br/>
        <w:t xml:space="preserve">o 9, a liczba osób w nich funkcjonujących zmniejszyła się o 32. </w:t>
      </w:r>
      <w:r>
        <w:rPr>
          <w:rFonts w:ascii="Calibri" w:hAnsi="Calibri" w:eastAsia="Calibri" w:cs="Times New Roman"/>
          <w14:ligatures w14:val="none"/>
        </w:rPr>
      </w:r>
      <w:r>
        <w:rPr>
          <w:rFonts w:ascii="Calibri" w:hAnsi="Calibri" w:eastAsia="Calibri" w:cs="Times New Roman"/>
          <w14:ligatures w14:val="none"/>
        </w:rPr>
      </w:r>
    </w:p>
    <w:p w14:paraId="7570CF08">
      <w:pPr>
        <w:pStyle w:val="848"/>
        <w:pBdr/>
        <w:spacing/>
        <w:ind/>
        <w:jc w:val="both"/>
        <w:rPr/>
      </w:pPr>
      <w:r/>
      <w:bookmarkStart w:id="16" w:name="_Toc226230126"/>
      <w:r>
        <w:t xml:space="preserve">2.2.4. Osoby z zaburzeniami psychicznymi oraz w kryzysie zdrowia psychicznego</w:t>
      </w:r>
      <w:bookmarkEnd w:id="16"/>
      <w:r/>
      <w:r/>
    </w:p>
    <w:p w14:paraId="5AB7C531">
      <w:pPr>
        <w:pStyle w:val="845"/>
        <w:pBdr/>
        <w:spacing w:line="276" w:lineRule="auto"/>
        <w:ind/>
        <w:jc w:val="both"/>
        <w:rPr/>
      </w:pPr>
      <w:r>
        <w:t xml:space="preserve">Zaburzenia psychiczne stanowią chorobę całego organizmu. Składa się na nie ogół zaburzeń czynności psychicznych i zachowania, które są przedmiotem zainteresowania psychiatrii klinicz</w:t>
      </w:r>
      <w:r>
        <w:t xml:space="preserve">nej. Definiowane są jako wzorce lub zespoły zachowań, sposobów myślenia, czucia, postrzegania, a także innych czynności umysłowych oraz relacji z innymi ludźmi, które są źródłem cierpienia bądź utrudnień w indywidualnym funkcjonowaniu dotkniętej nimi osoby</w:t>
      </w:r>
      <w:r>
        <w:rPr>
          <w:rStyle w:val="877"/>
        </w:rPr>
        <w:footnoteReference w:id="5"/>
      </w:r>
      <w:r>
        <w:t xml:space="preserve">. Objawy zaburzeń psychicznych są bardzo różne. Mogą to być zaburzenia świadomości, poznawcze, sprawności intelek</w:t>
      </w:r>
      <w:r>
        <w:t xml:space="preserve">tualnej, aktywności ruchowej, a także omamy czy urojenia. Kryzys psychiczny to natomiast reakcja organizmu na długotrwały stres, nieprzewidzianą sytuację czy traumatyczne zdarzenie. Oba czynniki bardzo mocno wpływają na jakość życia osoby nimi dotkniętej. </w:t>
      </w:r>
      <w:r/>
    </w:p>
    <w:p w14:paraId="5EB5BCC9">
      <w:pPr>
        <w:pStyle w:val="845"/>
        <w:pBdr/>
        <w:spacing w:line="276" w:lineRule="auto"/>
        <w:ind/>
        <w:jc w:val="both"/>
        <w:rPr/>
      </w:pPr>
      <w:r>
        <w:t xml:space="preserve">Dane dotyczące zaburzeń psychicznych są dość fragmentaryczne. Jest to obszar, który do tej pory nie został szczegółowo zbadany, ani też nie ma ogólnodostępnych staty</w:t>
      </w:r>
      <w:r>
        <w:t xml:space="preserve">styk, które pozwoliłyby całościowo opisać to zjawisko. Informacje ze źródeł wtórnych wskazują natomiast na rosnącą skalę występowania zaburzeń psychicznych wśród młodzieży, a także na zwiększenie liczby podejmowanych przez dzieci i młodzież prób samobójczy</w:t>
      </w:r>
      <w:r>
        <w:t xml:space="preserve">ch. </w:t>
        <w:br/>
        <w:t xml:space="preserve">Dużą grupę wśród młodych ludzi podejmujących próby samobójcze są tak zwani „młodzi dorośli“, czyli osoby pomiędzy 19 a 24 rokiem życia. Jednocześnie ambulatoryjna opieka psychiatryczna jest często niewystarczająca w stosunku do diagnozowanych potrzeb.</w:t>
      </w:r>
      <w:r/>
    </w:p>
    <w:p w14:paraId="7F25C1F5">
      <w:pPr>
        <w:pStyle w:val="845"/>
        <w:pBdr/>
        <w:spacing w:line="276" w:lineRule="auto"/>
        <w:ind/>
        <w:jc w:val="both"/>
        <w:rPr/>
      </w:pPr>
      <w:r>
        <w:t xml:space="preserve">Należy również zwrócić uwagę na problematykę uzależnień. Z informacji zawartych w raporcie </w:t>
      </w:r>
      <w:r>
        <w:rPr>
          <w:i/>
          <w:iCs/>
        </w:rPr>
        <w:t xml:space="preserve">Sytuacja zdrowotna ludności Polski i jej uwarunkowania </w:t>
      </w:r>
      <w:r>
        <w:t xml:space="preserve">wynika, że w 2022 roku w Polsce zdecydowanie najczęstszym rozpoznaniem wśród osób leczonych w oddziałach całodobowych były zaburzenia psychiczne spowodowane używaniem alkoholu</w:t>
      </w:r>
      <w:r>
        <w:rPr>
          <w:rStyle w:val="877"/>
        </w:rPr>
        <w:footnoteReference w:id="6"/>
      </w:r>
      <w:r>
        <w:t xml:space="preserve">.</w:t>
      </w:r>
      <w:r/>
    </w:p>
    <w:p w14:paraId="03372133">
      <w:pPr>
        <w:pStyle w:val="845"/>
        <w:pBdr/>
        <w:spacing w:line="276" w:lineRule="auto"/>
        <w:ind/>
        <w:jc w:val="both"/>
        <w:rPr/>
      </w:pPr>
      <w:r>
        <w:rPr>
          <w:highlight w:val="none"/>
        </w:rPr>
      </w:r>
      <w:r>
        <w:rPr>
          <w:highlight w:val="none"/>
        </w:rPr>
      </w:r>
      <w:r/>
    </w:p>
    <w:p w14:paraId="284D689A">
      <w:pPr>
        <w:pStyle w:val="845"/>
        <w:pBdr/>
        <w:spacing w:line="276" w:lineRule="auto"/>
        <w:ind/>
        <w:jc w:val="both"/>
        <w:rPr>
          <w:highlight w:val="none"/>
        </w:rPr>
      </w:pPr>
      <w:r>
        <w:rPr>
          <w:highlight w:val="none"/>
        </w:rPr>
      </w:r>
      <w:r>
        <w:rPr>
          <w:highlight w:val="none"/>
        </w:rPr>
      </w:r>
      <w:r>
        <w:rPr>
          <w:highlight w:val="none"/>
        </w:rPr>
      </w:r>
    </w:p>
    <w:p w14:paraId="7C047687">
      <w:pPr>
        <w:pStyle w:val="845"/>
        <w:pBdr/>
        <w:spacing w:line="276" w:lineRule="auto"/>
        <w:ind/>
        <w:jc w:val="both"/>
        <w:rPr>
          <w:highlight w:val="none"/>
        </w:rPr>
      </w:pPr>
      <w:r>
        <w:rPr>
          <w:highlight w:val="none"/>
        </w:rPr>
      </w:r>
      <w:r>
        <w:rPr>
          <w:highlight w:val="none"/>
        </w:rPr>
      </w:r>
      <w:r>
        <w:rPr>
          <w:highlight w:val="none"/>
        </w:rPr>
      </w:r>
    </w:p>
    <w:p w14:paraId="5D81C0C3">
      <w:pPr>
        <w:pStyle w:val="845"/>
        <w:pBdr/>
        <w:spacing w:line="276" w:lineRule="auto"/>
        <w:ind/>
        <w:jc w:val="both"/>
        <w:rPr>
          <w:highlight w:val="none"/>
        </w:rPr>
      </w:pPr>
      <w:r>
        <w:rPr>
          <w:highlight w:val="none"/>
        </w:rPr>
      </w:r>
      <w:r>
        <w:rPr>
          <w:highlight w:val="none"/>
        </w:rPr>
      </w:r>
      <w:r>
        <w:rPr>
          <w:highlight w:val="none"/>
        </w:rPr>
      </w:r>
    </w:p>
    <w:p w14:paraId="4CD091B3">
      <w:pPr>
        <w:pStyle w:val="845"/>
        <w:pBdr/>
        <w:spacing w:line="276" w:lineRule="auto"/>
        <w:ind/>
        <w:jc w:val="both"/>
        <w:rPr>
          <w:highlight w:val="none"/>
        </w:rPr>
      </w:pPr>
      <w:r>
        <w:t xml:space="preserve">W świetle definicji Światowej Organizacji Zdrowia, uzależnienie rozumiane jest jako stan psychiczny i fizyczny, który wynika z interakcji organizmu z substancją psychoakt</w:t>
      </w:r>
      <w:r>
        <w:t xml:space="preserve">ywną. Charakteryzuje się on zmianami zachowania oraz koniecznością przyjmowania substancji </w:t>
        <w:br/>
        <w:t xml:space="preserve">w sposób okresowy bądź ciągły – w celu doświadczania jej wpływu bądź uniknięcia objawów towarzyszących jej brakowi w organizmie. W kontekście dysfunkcji społecznych</w:t>
      </w:r>
      <w:r>
        <w:t xml:space="preserve"> uzależnienie należy jednak rozumieć szerzej, tj. jako silną i nabytą potrzebę zażywania substancji psychoaktywnych bądź wykonywania określonych czynności, takich jak np. uprawianie hazardu, oglądanie telewizji, korzystanie z internetu czy robienie zakupów</w:t>
      </w:r>
      <w:r>
        <w:rPr>
          <w:rStyle w:val="877"/>
          <w:vertAlign w:val="superscript"/>
        </w:rPr>
        <w:footnoteReference w:id="7"/>
      </w:r>
      <w:r>
        <w:t xml:space="preserve">. W obu tych wymiarach uzależnienie może p</w:t>
      </w:r>
      <w:r>
        <w:t xml:space="preserve">rzynieść negatywne konsekwencje – utrudnia bowiem prawidłowe funkcjonowanie psychiczne, fizyczne i społeczne. Niejednokrotnie prowadzi nie tylko do utraty zdrowia, ale także do wykluczenia społecznego, przestępczości oraz problemów i dysfunkcji w rodzinie.</w:t>
      </w:r>
      <w:r>
        <w:rPr>
          <w:highlight w:val="none"/>
        </w:rPr>
      </w:r>
    </w:p>
    <w:p w14:paraId="1A0413C0">
      <w:pPr>
        <w:pStyle w:val="845"/>
        <w:pBdr/>
        <w:spacing w:line="276" w:lineRule="auto"/>
        <w:ind/>
        <w:jc w:val="both"/>
        <w:rPr/>
      </w:pPr>
      <w:r>
        <w:t xml:space="preserve">Analiza statystyk GOPS w Braniewie wskazuje, że w latach 2023-2025 corocznie ze wsparcia z powodu alkoholizmu korzystało 4-8 rodzin. Narkomania tylko raz wystąpiła jako powód udzielenia pomocy społecznej w tym czasie.</w:t>
      </w:r>
      <w:r/>
    </w:p>
    <w:p w14:paraId="5F7A6D0E">
      <w:pPr>
        <w:pStyle w:val="845"/>
        <w:pBdr/>
        <w:spacing w:after="60" w:before="0" w:line="276" w:lineRule="auto"/>
        <w:ind/>
        <w:jc w:val="both"/>
        <w:rPr/>
      </w:pPr>
      <w:r>
        <w:t xml:space="preserve">Grupą szczególnie zagrożoną uzależnieniami od alkoholu i innych substancji psychoaktywnych jest młodzież. Tematyce uzależnień wśród młodzieży poświęcony jest dokument „Używanie alkoholu i narkotyków p</w:t>
      </w:r>
      <w:r>
        <w:t xml:space="preserve">rzez młodzież szkolną. Raport z ogólnopolskich badań ankietowych zrealizowanych w 2024 r. Europejski Program Badań Ankietowych w Szkołach ESPAD”. Badania te zostały przeprowadzone w dwóch grupach wiekowych, tj. 15-16 lat i 17-18 lat. W świetle ich wyników:</w:t>
      </w:r>
      <w:r/>
    </w:p>
    <w:p w14:paraId="6EA66057">
      <w:pPr>
        <w:pStyle w:val="845"/>
        <w:numPr>
          <w:ilvl w:val="0"/>
          <w:numId w:val="8"/>
        </w:numPr>
        <w:pBdr/>
        <w:spacing w:after="0" w:before="0" w:line="276" w:lineRule="auto"/>
        <w:ind/>
        <w:rPr/>
      </w:pPr>
      <w:r>
        <w:t xml:space="preserve">napoje alkoholowe są najbardziej rozpowszechnioną substancją psychoaktywną wśród młodzieży. Chociaż raz w ciągu całego swojego życia piło 72,9% uczniów z młodszej grupy i 91,3% uczniów z starszej grupy;</w:t>
      </w:r>
      <w:r/>
    </w:p>
    <w:p w14:paraId="30366203">
      <w:pPr>
        <w:pStyle w:val="845"/>
        <w:numPr>
          <w:ilvl w:val="0"/>
          <w:numId w:val="8"/>
        </w:numPr>
        <w:pBdr/>
        <w:spacing w:after="0" w:before="0" w:line="276" w:lineRule="auto"/>
        <w:ind/>
        <w:rPr/>
      </w:pPr>
      <w:r>
        <w:t xml:space="preserve">najbardziej popularnym napojem alkoholowym wśród młodzieży jest piwo, a najmniej </w:t>
        <w:br/>
        <w:t xml:space="preserve">– wino. W czasie 30 dni przed badaniem, chociaż raz, upiło się 13,4% uczniów </w:t>
        <w:br/>
        <w:t xml:space="preserve">z młodszej grupy wiekowej i 24,3% ze starszej;</w:t>
      </w:r>
      <w:r/>
    </w:p>
    <w:p w14:paraId="324166D9">
      <w:pPr>
        <w:pStyle w:val="845"/>
        <w:numPr>
          <w:ilvl w:val="0"/>
          <w:numId w:val="8"/>
        </w:numPr>
        <w:pBdr/>
        <w:spacing w:after="0" w:before="0" w:line="276" w:lineRule="auto"/>
        <w:ind/>
        <w:rPr/>
      </w:pPr>
      <w:r>
        <w:t xml:space="preserve">przynajmniej raz w życiu papierosy paliło 38,6% uczniów z młodszej grupy i 56,1% uczniów ze starszej grupy. W czasie ostatnich 30 dni przed badaniem paliło 21,0% uczniów z grupy młodszej i 30,0% ze starszej;</w:t>
      </w:r>
      <w:r/>
    </w:p>
    <w:p w14:paraId="06F96609">
      <w:pPr>
        <w:pStyle w:val="845"/>
        <w:numPr>
          <w:ilvl w:val="0"/>
          <w:numId w:val="8"/>
        </w:numPr>
        <w:pBdr/>
        <w:spacing w:after="0" w:before="0" w:line="276" w:lineRule="auto"/>
        <w:ind/>
        <w:rPr/>
      </w:pPr>
      <w:r>
        <w:t xml:space="preserve">przyjmowanie leków uspokajających lub nasennych bez przepisu lekarza, chociaż raz </w:t>
        <w:br/>
        <w:t xml:space="preserve">w życiu, dotyczyło 17,9% uczniów z młodszej grupy i 20,7% ze starszej;</w:t>
      </w:r>
      <w:r/>
    </w:p>
    <w:p w14:paraId="21C43D2A">
      <w:pPr>
        <w:pStyle w:val="845"/>
        <w:numPr>
          <w:ilvl w:val="0"/>
          <w:numId w:val="8"/>
        </w:numPr>
        <w:pBdr/>
        <w:spacing w:after="0" w:before="0" w:line="276" w:lineRule="auto"/>
        <w:ind/>
        <w:rPr/>
      </w:pPr>
      <w:r>
        <w:t xml:space="preserve">chociaż raz w życiu marihuany lub haszyszu używało 16,9% młodszych uczniów i 33,1% starszych;</w:t>
      </w:r>
      <w:r/>
    </w:p>
    <w:p w14:paraId="38F7663F">
      <w:pPr>
        <w:pStyle w:val="845"/>
        <w:numPr>
          <w:ilvl w:val="0"/>
          <w:numId w:val="8"/>
        </w:numPr>
        <w:pBdr/>
        <w:spacing w:after="160" w:before="0" w:line="276" w:lineRule="auto"/>
        <w:ind/>
        <w:rPr/>
      </w:pPr>
      <w:r>
        <w:t xml:space="preserve">około jedna czwarta uczniów grała, przynajmniej raz w życiu, w gry hazardowe. W ciągu ostatnich 30 dni takie zachowanie zadeklarowało 12,5% uczniów klas pierwszych </w:t>
        <w:br/>
        <w:t xml:space="preserve">i 25,4% uczniów klas trzecich.</w:t>
      </w:r>
      <w:r/>
    </w:p>
    <w:p w14:paraId="26E8B90E">
      <w:pPr>
        <w:pStyle w:val="845"/>
        <w:pBdr/>
        <w:spacing w:line="276" w:lineRule="auto"/>
        <w:ind/>
        <w:jc w:val="both"/>
        <w:rPr/>
      </w:pPr>
      <w:r>
        <w:rPr>
          <w:highlight w:val="none"/>
        </w:rPr>
      </w:r>
      <w:r>
        <w:rPr>
          <w:highlight w:val="none"/>
        </w:rPr>
      </w:r>
      <w:r/>
    </w:p>
    <w:p w14:paraId="71CA8B15">
      <w:pPr>
        <w:pStyle w:val="845"/>
        <w:pBdr/>
        <w:spacing w:line="276" w:lineRule="auto"/>
        <w:ind/>
        <w:jc w:val="both"/>
        <w:rPr>
          <w:highlight w:val="none"/>
        </w:rPr>
      </w:pPr>
      <w:r>
        <w:rPr>
          <w:highlight w:val="none"/>
        </w:rPr>
      </w:r>
      <w:r>
        <w:rPr>
          <w:highlight w:val="none"/>
        </w:rPr>
      </w:r>
      <w:r>
        <w:rPr>
          <w:highlight w:val="none"/>
        </w:rPr>
      </w:r>
    </w:p>
    <w:p w14:paraId="1C317D96">
      <w:pPr>
        <w:pStyle w:val="845"/>
        <w:pBdr/>
        <w:spacing w:line="276" w:lineRule="auto"/>
        <w:ind/>
        <w:jc w:val="both"/>
        <w:rPr>
          <w:highlight w:val="none"/>
        </w:rPr>
      </w:pPr>
      <w:r>
        <w:rPr>
          <w:highlight w:val="none"/>
        </w:rPr>
      </w:r>
      <w:r>
        <w:rPr>
          <w:highlight w:val="none"/>
        </w:rPr>
      </w:r>
      <w:r>
        <w:rPr>
          <w:highlight w:val="none"/>
        </w:rPr>
      </w:r>
    </w:p>
    <w:p w14:paraId="1F0B12E5">
      <w:pPr>
        <w:pStyle w:val="845"/>
        <w:pBdr/>
        <w:spacing w:line="276" w:lineRule="auto"/>
        <w:ind/>
        <w:jc w:val="both"/>
        <w:rPr>
          <w:highlight w:val="none"/>
        </w:rPr>
      </w:pPr>
      <w:r>
        <w:rPr>
          <w:highlight w:val="none"/>
        </w:rPr>
      </w:r>
      <w:r>
        <w:rPr>
          <w:highlight w:val="none"/>
        </w:rPr>
      </w:r>
      <w:r>
        <w:rPr>
          <w:highlight w:val="none"/>
        </w:rPr>
      </w:r>
    </w:p>
    <w:p w14:paraId="725E12D6">
      <w:pPr>
        <w:pStyle w:val="845"/>
        <w:pBdr/>
        <w:spacing w:line="276" w:lineRule="auto"/>
        <w:ind/>
        <w:jc w:val="both"/>
        <w:rPr>
          <w:highlight w:val="none"/>
        </w:rPr>
      </w:pPr>
      <w:r>
        <w:t xml:space="preserve">Statystyki ogólnokrajowe i regionalne wskazują, że rośnie liczba</w:t>
      </w:r>
      <w:r>
        <w:t xml:space="preserve"> osób doświadcza</w:t>
      </w:r>
      <w:r>
        <w:t xml:space="preserve">jących uzależnień behawioralnych, tj.: zaburzeń uprawiania hazardu, zespołu uzależnienia od internetu oraz innych zachowań kompulsywnych – w szkołach szczególnie niebezpieczne są                 e-uzależnienia, które często przeradzają się w cyberprzemoc. </w:t>
      </w:r>
      <w:r>
        <w:rPr>
          <w:highlight w:val="none"/>
        </w:rPr>
      </w:r>
    </w:p>
    <w:p w14:paraId="760ED079">
      <w:pPr>
        <w:pStyle w:val="848"/>
        <w:pBdr/>
        <w:spacing/>
        <w:ind/>
        <w:jc w:val="both"/>
        <w:rPr/>
      </w:pPr>
      <w:r/>
      <w:bookmarkStart w:id="17" w:name="_Toc226230127"/>
      <w:r>
        <w:t xml:space="preserve">2.2.5. Osoby w kryzysie bezdomności</w:t>
      </w:r>
      <w:bookmarkEnd w:id="17"/>
      <w:r/>
      <w:r/>
    </w:p>
    <w:p w14:paraId="463E7884">
      <w:pPr>
        <w:pStyle w:val="845"/>
        <w:pBdr/>
        <w:spacing w:after="60" w:before="0" w:line="276" w:lineRule="auto"/>
        <w:ind/>
        <w:jc w:val="both"/>
        <w:rPr/>
      </w:pPr>
      <w:r>
        <w:t xml:space="preserve">Bezdomność stanowi zjawisko społeczne, polegające na braku domu, mieszkania lub miejsca stałego pobytu, gwarantującego osobie lub rodzinie poczucie bezpieczeństwa, zapewniającego schronienie i zaspokojenie podstawowym potrzeb</w:t>
      </w:r>
      <w:r>
        <w:rPr>
          <w:rStyle w:val="877"/>
        </w:rPr>
        <w:footnoteReference w:id="8"/>
      </w:r>
      <w:r>
        <w:t xml:space="preserve">. Bezdomność może być dobrowolna, wynikająca z wyboru takiego </w:t>
      </w:r>
      <w:r>
        <w:t xml:space="preserve">stylu życia, może też wynikać z przyczyn obiektywnych, niezależnych od człowieka, takich jak np. klęski żywiołowe, recesja gospodarcza czy wojna. Nierzadko stanowi również efekt decyzji i postępowania człowieka oraz dysfunkcji, które go dotykają, w tym zad</w:t>
      </w:r>
      <w:r>
        <w:t xml:space="preserve">łużenia, przemocy domowej, uzależnień, ucieczki z domu, zaburzeń psychicznych, problemów i konfliktów rodzinnych itd. Bezdomność może dotknąć człowieka </w:t>
        <w:br/>
        <w:t xml:space="preserve">w każdym wieku, jednak coraz częściej mówi się o młodych osobach doświadczających kryzysu bezdomności. </w:t>
      </w:r>
      <w:r/>
    </w:p>
    <w:p w14:paraId="76A0A7DF">
      <w:pPr>
        <w:pStyle w:val="845"/>
        <w:pBdr/>
        <w:spacing w:after="60" w:before="0" w:line="276" w:lineRule="auto"/>
        <w:ind/>
        <w:jc w:val="both"/>
        <w:rPr/>
      </w:pPr>
      <w:r>
        <w:t xml:space="preserve">W latach 2023-2025 roku bezdomność stanowiła powód udzielenia pomocy społecznej corocznie 1-2 osobom.</w:t>
      </w:r>
      <w:r>
        <w:br w:type="page" w:clear="all"/>
      </w:r>
      <w:r/>
    </w:p>
    <w:p w14:paraId="20EB21F9">
      <w:pPr>
        <w:pStyle w:val="846"/>
        <w:pBdr/>
        <w:spacing w:after="240" w:before="0"/>
        <w:ind/>
        <w:rPr>
          <w:sz w:val="28"/>
          <w:szCs w:val="28"/>
          <w:highlight w:val="none"/>
        </w:rPr>
      </w:pPr>
      <w:r>
        <w:rPr>
          <w:sz w:val="28"/>
          <w:szCs w:val="28"/>
          <w:highlight w:val="none"/>
        </w:rPr>
      </w:r>
      <w:r>
        <w:rPr>
          <w:sz w:val="28"/>
          <w:szCs w:val="28"/>
          <w:highlight w:val="none"/>
        </w:rPr>
      </w:r>
      <w:r>
        <w:rPr>
          <w:sz w:val="28"/>
          <w:szCs w:val="28"/>
          <w:highlight w:val="none"/>
        </w:rPr>
      </w:r>
    </w:p>
    <w:p w14:paraId="639F115D">
      <w:pPr>
        <w:pStyle w:val="846"/>
        <w:pBdr/>
        <w:spacing w:after="240" w:before="0"/>
        <w:ind/>
        <w:rPr>
          <w:sz w:val="28"/>
          <w:szCs w:val="28"/>
          <w:highlight w:val="none"/>
        </w:rPr>
      </w:pPr>
      <w:r>
        <w:rPr>
          <w:sz w:val="28"/>
          <w:szCs w:val="28"/>
          <w:highlight w:val="none"/>
        </w:rPr>
      </w:r>
      <w:r>
        <w:rPr>
          <w:sz w:val="28"/>
          <w:szCs w:val="28"/>
          <w:highlight w:val="none"/>
        </w:rPr>
      </w:r>
      <w:r>
        <w:rPr>
          <w:sz w:val="28"/>
          <w:szCs w:val="28"/>
          <w:highlight w:val="none"/>
        </w:rPr>
      </w:r>
    </w:p>
    <w:p w14:paraId="705D4C6C">
      <w:pPr>
        <w:pStyle w:val="846"/>
        <w:pBdr/>
        <w:spacing w:after="240" w:before="0"/>
        <w:ind/>
        <w:rPr>
          <w:sz w:val="28"/>
          <w:szCs w:val="28"/>
          <w:highlight w:val="none"/>
        </w:rPr>
      </w:pPr>
      <w:r/>
      <w:bookmarkStart w:id="18" w:name="_Toc226230128"/>
      <w:r>
        <w:rPr>
          <w:sz w:val="28"/>
          <w:szCs w:val="28"/>
        </w:rPr>
        <w:t xml:space="preserve">3. Zasoby lokalnego systemu usług społecznych</w:t>
      </w:r>
      <w:bookmarkEnd w:id="18"/>
      <w:r>
        <w:rPr>
          <w:sz w:val="28"/>
          <w:szCs w:val="28"/>
        </w:rPr>
      </w:r>
      <w:r>
        <w:rPr>
          <w:sz w:val="28"/>
          <w:szCs w:val="28"/>
          <w:highlight w:val="none"/>
        </w:rPr>
      </w:r>
    </w:p>
    <w:p w14:paraId="68E56DDC">
      <w:pPr>
        <w:pStyle w:val="845"/>
        <w:pBdr/>
        <w:spacing w:after="60" w:before="0" w:line="276" w:lineRule="auto"/>
        <w:ind/>
        <w:jc w:val="both"/>
        <w:rPr/>
      </w:pPr>
      <w:r>
        <w:t xml:space="preserve">Jednostką wykonującą zadania z zakresu pomocy społecznej oraz usług społecznych w Gminie Braniewo jest </w:t>
      </w:r>
      <w:r>
        <w:rPr>
          <w:b/>
          <w:bCs/>
        </w:rPr>
        <w:t xml:space="preserve">Gminny Ośrodek Pomocy Społecznej w Braniewie</w:t>
      </w:r>
      <w:r>
        <w:t xml:space="preserve">. W świetle art. 15 ustawy o pomocy społecznej, polegają one na: przyznawaniu i wypłacaniu przewidzianych ustawą świadczeń; pracy socjalnej, prowadzeniu i rozwoju odpowiedniej infrastruktury socja</w:t>
      </w:r>
      <w:r>
        <w:t xml:space="preserve">lnej, analizie i ocenie zjawisk rodzących zapotrzebowanie na świadczenia z pomocy społecznej, realizacji zadań wynikających z rozeznanych potrzeb społecznych, a także rozwijaniu nowych form pomocy społecznej i samopomocy w ramach zidentyfikowanych potrzeb.</w:t>
      </w:r>
      <w:r/>
    </w:p>
    <w:p w14:paraId="742B54D9">
      <w:pPr>
        <w:pStyle w:val="845"/>
        <w:pBdr/>
        <w:spacing w:after="60" w:before="0" w:line="276" w:lineRule="auto"/>
        <w:ind/>
        <w:jc w:val="both"/>
        <w:rPr/>
      </w:pPr>
      <w:r>
        <w:t xml:space="preserve">GOPS realizuje ponadto szereg zadań wynikających z innych ustaw, w tym m.in. w zakresie wspierania rodziny i systemu pieczy zastępczej, świadczeń rodzinnych, opiekuńczych </w:t>
      </w:r>
      <w:r>
        <w:br/>
      </w:r>
      <w:r>
        <w:t xml:space="preserve">i </w:t>
      </w:r>
      <w:r>
        <w:t xml:space="preserve">alimentacyjnych, karty dużej rodziny, ochrony zdrowia psychicznego. Aktywność GOPS wyraża się również w realizowanych programach i projektach, m.in. takich jak Program Rządowy „Posiłek w szkole i w domu”, Program „Asystent osobisty osoby niepełnosprawnej”.</w:t>
      </w:r>
      <w:r/>
    </w:p>
    <w:p w14:paraId="1F007E07">
      <w:pPr>
        <w:pStyle w:val="845"/>
        <w:pBdr/>
        <w:spacing w:after="60" w:before="0" w:line="276" w:lineRule="auto"/>
        <w:ind/>
        <w:jc w:val="both"/>
        <w:rPr/>
      </w:pPr>
      <w:r>
        <w:t xml:space="preserve">Kolejnym obszarem działania Gminnego Ośrodka Pomocy Społecznej w Braniewie jest przeciwdziałanie przemoc domowej, a jednym z narządzi temu służących – funkcjonujący przy GOPS </w:t>
      </w:r>
      <w:r>
        <w:rPr>
          <w:b/>
          <w:bCs/>
        </w:rPr>
        <w:t xml:space="preserve">Zespół Interdyscyplinarny</w:t>
      </w:r>
      <w:r>
        <w:t xml:space="preserve">. Działania Zespołu mają na celu przeciwdziałanie zjawisku przemocy w środowisku domowym, a także komplekso</w:t>
      </w:r>
      <w:r>
        <w:t xml:space="preserve">we wsparcie rodziny w celu przywrócenia prawidłowego jej funkcjonowania w społeczeństwie. Zespół Interdyscyplinarny tworzy dla indywidualnych przypadków grupy diagnostyczno-pomocowe w celu rozwiązywania problemów związanych z wystąpieniem przemocy domowej.</w:t>
      </w:r>
      <w:r/>
    </w:p>
    <w:p w14:paraId="1840B3E6">
      <w:pPr>
        <w:pStyle w:val="845"/>
        <w:pBdr/>
        <w:spacing w:after="60" w:before="0" w:line="276" w:lineRule="auto"/>
        <w:ind/>
        <w:jc w:val="both"/>
        <w:rPr/>
      </w:pPr>
      <w:r>
        <w:t xml:space="preserve">Gmina Braniewo posiada </w:t>
      </w:r>
      <w:r>
        <w:rPr>
          <w:b/>
          <w:bCs/>
        </w:rPr>
        <w:t xml:space="preserve">mieszkanie treningowe i wspomagane</w:t>
      </w:r>
      <w:r>
        <w:t xml:space="preserve"> w Żelaznej Górze, przeznaczone dla osób niepełnosprawnych z zaburzeniami psychicznymi, w szczególności </w:t>
        <w:br/>
        <w:t xml:space="preserve">z niepełnosprawnością intelektualną, które potrzebują w</w:t>
      </w:r>
      <w:r>
        <w:t xml:space="preserve">sparcia w funkcjonowaniu, ale są samodzielnie w wykonywaniu podstawowych czynności fizjologicznych i nie wymagają usług świadczonych przez jednostki całodobowej opieki, z wykluczeniem osób niepełnosprawnych ruchowo. Mieszkanie jest przeznaczone dla 5 osób.</w:t>
      </w:r>
      <w:r/>
    </w:p>
    <w:p w14:paraId="0065240E">
      <w:pPr>
        <w:pStyle w:val="845"/>
        <w:pBdr/>
        <w:spacing w:after="60" w:before="0" w:line="276" w:lineRule="auto"/>
        <w:ind/>
        <w:jc w:val="both"/>
        <w:rPr/>
      </w:pPr>
      <w:r>
        <w:t xml:space="preserve">Na terenie Gminy Braniewo od 2016 r. działa </w:t>
      </w:r>
      <w:r>
        <w:rPr>
          <w:b/>
          <w:bCs/>
        </w:rPr>
        <w:t xml:space="preserve">Środowiskowy Dom Samopomocy "Ostoja" </w:t>
        <w:br/>
        <w:t xml:space="preserve">w Żelaznej Górze, </w:t>
      </w:r>
      <w:r>
        <w:t xml:space="preserve">prowadzony przez</w:t>
      </w:r>
      <w:r>
        <w:rPr>
          <w:b/>
          <w:bCs/>
        </w:rPr>
        <w:t xml:space="preserve"> </w:t>
      </w:r>
      <w:r>
        <w:t xml:space="preserve">Stowarzyszenie „Ostoja Warmińska”. Jest to placówka pobytu dziennego typu ABC, przeznaczona dla 50 osób niepełnosprawnych intelektualnie, </w:t>
        <w:br/>
        <w:t xml:space="preserve">z zaburzeniami psychicznymi oraz wykazują</w:t>
      </w:r>
      <w:r>
        <w:t xml:space="preserve">cych inne zakłócenia czynności psychicznych, które zgodnie ze stanem wiedzy medycznej zaliczane są do zaburzeń psychicznych, a osoby te wymagają świadczeń zdrowotnych lub innych form pomocy i opieki niezbędnych do życia w środowisku rodzinnym i społecznym.</w:t>
      </w:r>
      <w:r/>
    </w:p>
    <w:p w14:paraId="1D4ACF0A">
      <w:pPr>
        <w:pStyle w:val="845"/>
        <w:pBdr/>
        <w:spacing w:after="60" w:before="0" w:line="276" w:lineRule="auto"/>
        <w:ind/>
        <w:jc w:val="both"/>
        <w:rPr/>
      </w:pPr>
      <w:r>
        <w:t xml:space="preserve">W obszarze uzależnień działa przede wszystkim </w:t>
      </w:r>
      <w:r>
        <w:rPr>
          <w:b/>
          <w:bCs/>
        </w:rPr>
        <w:t xml:space="preserve">Gminna Komisja Rozwiązywania Problemów Społecznych w Braniewie</w:t>
      </w:r>
      <w:r>
        <w:t xml:space="preserve">. Podejmuje ona czynności zmierzające m.in. do ograniczania spożycia napojów alkoholowych w gminie oraz do orzeczenia przez sąd o zastosowaniu wobec osoby uzależnionej od alkoholu obowiązku poddania się leczeni</w:t>
      </w:r>
      <w:r>
        <w:t xml:space="preserve">u w zakładzie lecznictwa odwykowego, a także przeprowadza rozmowy motywacyjno-interwencyjne z osobami mającymi problem z nadużywaniem alkoholu oraz członkami ich rodzin. GKRPA jest również współodpowiedzialna za realizację Gminnego Programu Profilaktyki i </w:t>
      </w:r>
      <w:r>
        <w:t xml:space="preserve">Rozwiązywania Problemów Alkoholowych oraz Zapobiegania Narkomanii, </w:t>
      </w:r>
      <w:r/>
    </w:p>
    <w:p w14:paraId="79275394">
      <w:pPr>
        <w:pStyle w:val="845"/>
        <w:pBdr/>
        <w:spacing w:after="60" w:before="0" w:line="276" w:lineRule="auto"/>
        <w:ind/>
        <w:jc w:val="both"/>
        <w:rPr/>
      </w:pPr>
      <w:r>
        <w:rPr>
          <w:highlight w:val="none"/>
        </w:rPr>
      </w:r>
      <w:r>
        <w:rPr>
          <w:highlight w:val="none"/>
        </w:rPr>
      </w:r>
      <w:r/>
    </w:p>
    <w:p w14:paraId="29C3DF00">
      <w:pPr>
        <w:pStyle w:val="845"/>
        <w:pBdr/>
        <w:spacing w:after="60" w:before="0" w:line="276" w:lineRule="auto"/>
        <w:ind/>
        <w:jc w:val="both"/>
        <w:rPr>
          <w:highlight w:val="none"/>
        </w:rPr>
      </w:pPr>
      <w:r>
        <w:rPr>
          <w:highlight w:val="none"/>
        </w:rPr>
      </w:r>
      <w:r>
        <w:rPr>
          <w:highlight w:val="none"/>
        </w:rPr>
      </w:r>
      <w:r>
        <w:rPr>
          <w:highlight w:val="none"/>
        </w:rPr>
      </w:r>
    </w:p>
    <w:p w14:paraId="50376701">
      <w:pPr>
        <w:pStyle w:val="845"/>
        <w:pBdr/>
        <w:spacing w:after="60" w:before="0" w:line="276" w:lineRule="auto"/>
        <w:ind/>
        <w:jc w:val="both"/>
        <w:rPr>
          <w:highlight w:val="none"/>
        </w:rPr>
      </w:pPr>
      <w:r>
        <w:rPr>
          <w:highlight w:val="none"/>
        </w:rPr>
      </w:r>
      <w:r>
        <w:rPr>
          <w:highlight w:val="none"/>
        </w:rPr>
      </w:r>
      <w:r>
        <w:rPr>
          <w:highlight w:val="none"/>
        </w:rPr>
      </w:r>
    </w:p>
    <w:p w14:paraId="50A76327">
      <w:pPr>
        <w:pStyle w:val="845"/>
        <w:pBdr/>
        <w:spacing w:after="60" w:before="0" w:line="276" w:lineRule="auto"/>
        <w:ind/>
        <w:jc w:val="both"/>
        <w:rPr>
          <w:highlight w:val="none"/>
        </w:rPr>
      </w:pPr>
      <w:r>
        <w:t xml:space="preserve">którego celem jest zwiększenie dostępności pomocy terapeutycznej i rehabilitacyjnej dla osób uzależnionych od alkoholu. Działalność GKRPA wspiera Punkt Konsultacyjny w Lipowinie, który udzi</w:t>
      </w:r>
      <w:r>
        <w:t xml:space="preserve">ela pomocy osobom uzależnionym i współuzależnionym a także doświadczającym przemocy domowej. Do zadań Punktu należy w szczególności: dostarczanie informacji o możliwości podejmowania profesjonalnej terapii w placówkach leczenia uzależnień, motywowania i ki</w:t>
      </w:r>
      <w:r>
        <w:t xml:space="preserve">erowania do leczenia osób uzależnionych jak i osób współuzależnionych, motywowanie osób pijących ryzykownie i szkodliwie do zmiany szkodliwego wzorca picia, udzielanie wsparcia i pomocy psychospołecznej szczególnie osobom po zakończonym leczeniu odwykowym.</w:t>
      </w:r>
      <w:r>
        <w:rPr>
          <w:highlight w:val="none"/>
        </w:rPr>
      </w:r>
    </w:p>
    <w:p w14:paraId="745C9501">
      <w:pPr>
        <w:pStyle w:val="845"/>
        <w:pBdr/>
        <w:spacing w:after="60" w:before="0" w:line="276" w:lineRule="auto"/>
        <w:ind/>
        <w:rPr/>
      </w:pPr>
      <w:r>
        <w:t xml:space="preserve">Wśród podmiotów działających w obszarze polityki społecznej, istotną rolę odgrywają również </w:t>
      </w:r>
      <w:r>
        <w:rPr>
          <w:b/>
          <w:bCs/>
        </w:rPr>
        <w:t xml:space="preserve">inne</w:t>
      </w:r>
      <w:r>
        <w:t xml:space="preserve"> </w:t>
      </w:r>
      <w:r>
        <w:rPr>
          <w:b/>
          <w:bCs/>
        </w:rPr>
        <w:t xml:space="preserve">jednostki organizacyjne i pomocnicze Gminy Braniewo</w:t>
      </w:r>
      <w:r>
        <w:t xml:space="preserve">:</w:t>
      </w:r>
      <w:r/>
    </w:p>
    <w:p w14:paraId="47F1A113">
      <w:pPr>
        <w:pStyle w:val="845"/>
        <w:numPr>
          <w:ilvl w:val="0"/>
          <w:numId w:val="15"/>
        </w:numPr>
        <w:pBdr/>
        <w:spacing w:after="0" w:before="0" w:line="276" w:lineRule="auto"/>
        <w:ind/>
        <w:rPr/>
      </w:pPr>
      <w:r>
        <w:t xml:space="preserve">Urząd Gminy Braniewo;</w:t>
      </w:r>
      <w:r/>
    </w:p>
    <w:p w14:paraId="1FD16058">
      <w:pPr>
        <w:pStyle w:val="845"/>
        <w:numPr>
          <w:ilvl w:val="0"/>
          <w:numId w:val="15"/>
        </w:numPr>
        <w:pBdr/>
        <w:spacing w:after="0" w:before="0" w:line="276" w:lineRule="auto"/>
        <w:ind/>
        <w:rPr/>
      </w:pPr>
      <w:r>
        <w:t xml:space="preserve">Szkoła Podstawowa im. Wincentego Witosa w Lipowinie;</w:t>
      </w:r>
      <w:r/>
    </w:p>
    <w:p w14:paraId="2FFD69EF">
      <w:pPr>
        <w:pStyle w:val="845"/>
        <w:numPr>
          <w:ilvl w:val="0"/>
          <w:numId w:val="15"/>
        </w:numPr>
        <w:pBdr/>
        <w:spacing w:after="0" w:before="0" w:line="276" w:lineRule="auto"/>
        <w:ind/>
        <w:rPr/>
      </w:pPr>
      <w:r>
        <w:t xml:space="preserve">Szkoła Filialna w Szylenach Szkoły Podstawowej im. Wincentego Witosa w Lipowinie;</w:t>
      </w:r>
      <w:r/>
    </w:p>
    <w:p w14:paraId="2622DF2C">
      <w:pPr>
        <w:pStyle w:val="845"/>
        <w:numPr>
          <w:ilvl w:val="0"/>
          <w:numId w:val="15"/>
        </w:numPr>
        <w:pBdr/>
        <w:spacing w:after="0" w:before="0" w:line="276" w:lineRule="auto"/>
        <w:ind/>
        <w:rPr/>
      </w:pPr>
      <w:r>
        <w:t xml:space="preserve">Gminna Biblioteka Publiczna im. Marii Zientary-Malewskiej w Lipowinie;</w:t>
      </w:r>
      <w:r/>
    </w:p>
    <w:p w14:paraId="5DABEAA8">
      <w:pPr>
        <w:pStyle w:val="845"/>
        <w:numPr>
          <w:ilvl w:val="0"/>
          <w:numId w:val="15"/>
        </w:numPr>
        <w:pBdr/>
        <w:spacing w:after="60" w:before="0" w:line="276" w:lineRule="auto"/>
        <w:ind/>
        <w:rPr/>
      </w:pPr>
      <w:r>
        <w:t xml:space="preserve">28 sołectw. </w:t>
      </w:r>
      <w:r/>
    </w:p>
    <w:p w14:paraId="1C2EF6CF">
      <w:pPr>
        <w:pStyle w:val="845"/>
        <w:pBdr/>
        <w:spacing w:after="60" w:before="0" w:line="276" w:lineRule="auto"/>
        <w:ind/>
        <w:jc w:val="both"/>
        <w:rPr/>
      </w:pPr>
      <w:r>
        <w:t xml:space="preserve">Gminne placówki oświatowe, wymienione w punkcie 2 i 3, realizują cele i zadania pracy dydaktycznej, wyc</w:t>
      </w:r>
      <w:r>
        <w:t xml:space="preserve">howawczej i opiekuńczej wynikające z ustawy o systemie oświaty oraz przepisów wydanych na jej podstawie, a także zawarte w programach wychowawczych </w:t>
        <w:br/>
        <w:t xml:space="preserve">i profilaktycznych dostosowanych do potrzeb rozwojowych uczniów. W szkołach organizowane są zajęcia pozalek</w:t>
      </w:r>
      <w:r>
        <w:t xml:space="preserve">cyjne i dodatkowe w postaci kół przedmiotowych oraz zajęć sportowych, a także zajęcia wyrównawcze, rewalidacyjne, logopedyczne i nauczanie indywidualne. Służy do tego baza dydaktyczna w postaci budynków szkolnych wyposażonych w sprzęt i pomoce dydaktyczne.</w:t>
      </w:r>
      <w:r/>
    </w:p>
    <w:p w14:paraId="30992CE2">
      <w:pPr>
        <w:pStyle w:val="845"/>
        <w:pBdr/>
        <w:spacing w:after="60" w:before="0" w:line="276" w:lineRule="auto"/>
        <w:ind/>
        <w:jc w:val="both"/>
        <w:rPr/>
      </w:pPr>
      <w:r>
        <w:t xml:space="preserve">Na terenie Gminy Braniewo działa ponadto instytucja kultury – Gminną Biblioteka Publiczna w Lipowinie. Do głów</w:t>
      </w:r>
      <w:r>
        <w:t xml:space="preserve">nych jej zadań należy gromadzenie i udostępnianie zbiorów bibliotecznych, prowadzenie działalności informacyjnej, popularyzowanie czytelnictwa i innych działań kulturalnych oraz współpraca z instytucjami i organizacjami na rzecz realizacji celów placówki. </w:t>
      </w:r>
      <w:r/>
    </w:p>
    <w:p w14:paraId="6515D993">
      <w:pPr>
        <w:pStyle w:val="845"/>
        <w:pBdr/>
        <w:spacing w:after="60" w:before="0" w:line="276" w:lineRule="auto"/>
        <w:ind/>
        <w:jc w:val="both"/>
        <w:rPr/>
      </w:pPr>
      <w:r>
        <w:t xml:space="preserve">Omawiając instytucjonalny system pomocy i wsparcia należy wskazać także jednostki powiatowe działające w sferze pomocy społecznej i rynku pracy, z których oferty mogą korzystać mieszkańcy Gminy, w tym przede wszystkim:</w:t>
      </w:r>
      <w:r/>
    </w:p>
    <w:p w14:paraId="11A84288">
      <w:pPr>
        <w:pStyle w:val="845"/>
        <w:numPr>
          <w:ilvl w:val="0"/>
          <w:numId w:val="14"/>
        </w:numPr>
        <w:pBdr/>
        <w:spacing w:after="0" w:before="0" w:line="276" w:lineRule="auto"/>
        <w:ind/>
        <w:rPr/>
      </w:pPr>
      <w:r>
        <w:t xml:space="preserve">Powiatowe Centrum Pomocy Rodzinie w Braniewie – realizuje  zadania powia</w:t>
      </w:r>
      <w:r>
        <w:t xml:space="preserve">tu wynikające z ustawy o pomocy społecznej, ustawy o wspieraniu rodziny i systemie pieczy zastępczej jako organizator i koordynator rodzinnej pieczy zastępczej, a także ustawy o rehabilitacji zawodowej i społecznej oraz zatrudnianiu osób niepełnosprawnych;</w:t>
      </w:r>
      <w:r/>
    </w:p>
    <w:p w14:paraId="2DE2F9B2">
      <w:pPr>
        <w:pStyle w:val="845"/>
        <w:numPr>
          <w:ilvl w:val="0"/>
          <w:numId w:val="14"/>
        </w:numPr>
        <w:pBdr/>
        <w:spacing w:after="0" w:before="0" w:line="276" w:lineRule="auto"/>
        <w:ind/>
        <w:rPr/>
      </w:pPr>
      <w:r>
        <w:t xml:space="preserve">Powiatowy Dom Pomocy Społecznej w Braniewie - dla osób przewlekle psychicznie chorych wymagających całodobowej opieki, dysponuje 68 miejscami, świadczy usługi bytowe, opiekuńcze, wspomagające i edukacyjne;</w:t>
      </w:r>
      <w:r/>
    </w:p>
    <w:p w14:paraId="7DF99BD4">
      <w:pPr>
        <w:pStyle w:val="845"/>
        <w:pBdr/>
        <w:spacing w:after="0" w:before="0" w:line="276" w:lineRule="auto"/>
        <w:ind/>
        <w:rPr/>
      </w:pPr>
      <w:r/>
      <w:r/>
    </w:p>
    <w:p w14:paraId="1DDD864F">
      <w:pPr>
        <w:pStyle w:val="845"/>
        <w:pBdr/>
        <w:spacing w:after="0" w:before="0" w:line="276" w:lineRule="auto"/>
        <w:ind/>
        <w:rPr/>
      </w:pPr>
      <w:r/>
      <w:r/>
    </w:p>
    <w:p w14:paraId="468D494D">
      <w:pPr>
        <w:pStyle w:val="845"/>
        <w:pBdr/>
        <w:spacing w:after="0" w:before="0" w:line="276" w:lineRule="auto"/>
        <w:ind/>
        <w:rPr/>
      </w:pPr>
      <w:r/>
      <w:r/>
    </w:p>
    <w:p w14:paraId="478CE37C">
      <w:pPr>
        <w:pStyle w:val="845"/>
        <w:pBdr/>
        <w:spacing w:after="0" w:before="0" w:line="276" w:lineRule="auto"/>
        <w:ind/>
        <w:rPr/>
      </w:pPr>
      <w:r>
        <w:rPr>
          <w:highlight w:val="none"/>
        </w:rPr>
      </w:r>
      <w:r>
        <w:rPr>
          <w:highlight w:val="none"/>
        </w:rPr>
      </w:r>
      <w:r/>
    </w:p>
    <w:p w14:paraId="4C3172E0">
      <w:pPr>
        <w:pStyle w:val="845"/>
        <w:numPr>
          <w:ilvl w:val="0"/>
          <w:numId w:val="14"/>
        </w:numPr>
        <w:pBdr/>
        <w:spacing w:after="60" w:before="0" w:line="276" w:lineRule="auto"/>
        <w:ind/>
        <w:rPr/>
      </w:pPr>
      <w:r>
        <w:t xml:space="preserve">Powiatowy Urząd Pracy w Braniewie – realizuje zadania powiatu polegające m.in. na udzielaniu pomocy bezrobotnym i poszukujących pracy w znalezieniu pracy (pośrednictwo pra</w:t>
      </w:r>
      <w:r>
        <w:t xml:space="preserve">cy, poradnictwo zawodowe i informacja zawodowa), organizowaniu i finansowaniu usług i instrumentów rynku pracy, przyznawaniu i wypłacaniu zasiłków oraz innych świadczeń z tytułu bezrobocia, a także opracowywaniu analiz i sprawozdań dotyczących rynku pracy.</w:t>
      </w:r>
      <w:r/>
    </w:p>
    <w:p w14:paraId="0F03B0DD">
      <w:pPr>
        <w:pStyle w:val="845"/>
        <w:pBdr/>
        <w:spacing w:after="60" w:before="0" w:line="276" w:lineRule="auto"/>
        <w:ind/>
        <w:jc w:val="both"/>
        <w:rPr/>
      </w:pPr>
      <w:r>
        <w:t xml:space="preserve">System pomocy i wsparcia w szerokim ujęciu obejmuje również inne instytucje rynku pracy, jednostki oświato</w:t>
      </w:r>
      <w:r>
        <w:t xml:space="preserve">we, podmioty lecznicze oraz wszystkie instytucje i organizacje, które na co dzień współpracują ze sobą ze względu na zbieżne cele oraz obsługę tych samych klientów. Obszar usług społecznych jest również istotnym obszarem współpracy z podmiotami ekonomii sp</w:t>
      </w:r>
      <w:r>
        <w:t xml:space="preserve">ołecznej. Według danych REGON w końcu 2025 roku na terenie gminy zarejestrowanych było 12 stowarzyszeń i innych organizacji społecznych oraz 1 fundacja. W programie współpracy gminy z organizacjami pozarządowymi wśród priorytetowych zadań w 2025 roku były:</w:t>
      </w:r>
      <w:r/>
    </w:p>
    <w:p w14:paraId="255028CC">
      <w:pPr>
        <w:pStyle w:val="845"/>
        <w:numPr>
          <w:ilvl w:val="3"/>
          <w:numId w:val="25"/>
        </w:numPr>
        <w:pBdr/>
        <w:spacing w:after="0" w:before="0" w:line="276" w:lineRule="auto"/>
        <w:ind w:hanging="284" w:left="284"/>
        <w:jc w:val="both"/>
        <w:rPr/>
      </w:pPr>
      <w:r>
        <w:t xml:space="preserve">Zadania z zakresu porządku i bezpieczeństwa publicznego oraz przeciwdziałania patologiom społecznym w tym wspieranie działań związanych ze zwiększeniem bezpieczeństwa społecznego na terenie Gminy Braniewo.</w:t>
      </w:r>
      <w:r/>
    </w:p>
    <w:p w14:paraId="0F898C4B">
      <w:pPr>
        <w:pStyle w:val="845"/>
        <w:numPr>
          <w:ilvl w:val="3"/>
          <w:numId w:val="25"/>
        </w:numPr>
        <w:pBdr/>
        <w:spacing w:after="0" w:before="0" w:line="276" w:lineRule="auto"/>
        <w:ind w:hanging="284" w:left="284"/>
        <w:jc w:val="both"/>
        <w:rPr/>
      </w:pPr>
      <w:r>
        <w:t xml:space="preserve">Zadania z zakresu pomocy społecznej</w:t>
      </w:r>
      <w:r>
        <w:t xml:space="preserve">, w tym pomocy rodzinom w trudnej sytuacji życiowej oraz wyrównywanie szans tych rodzin w tym wspieranie działań na rzecz integracji i reintegracji zawodowej i społecznej osób zagrożonych wykluczeniem społecznym w szczególności ludzi nieaktywnych zawodowo.</w:t>
      </w:r>
      <w:r/>
    </w:p>
    <w:p w14:paraId="1F87306A">
      <w:pPr>
        <w:pStyle w:val="845"/>
        <w:numPr>
          <w:ilvl w:val="3"/>
          <w:numId w:val="25"/>
        </w:numPr>
        <w:pBdr/>
        <w:spacing w:after="40" w:before="0" w:line="276" w:lineRule="auto"/>
        <w:ind w:hanging="284" w:left="284"/>
        <w:jc w:val="both"/>
        <w:rPr/>
      </w:pPr>
      <w:r>
        <w:t xml:space="preserve">Zadania w zakresie działalności na rzecz osób w wieku emerytalnym:</w:t>
      </w:r>
      <w:r/>
    </w:p>
    <w:p w14:paraId="486F12B0">
      <w:pPr>
        <w:pStyle w:val="845"/>
        <w:numPr>
          <w:ilvl w:val="0"/>
          <w:numId w:val="26"/>
        </w:numPr>
        <w:pBdr/>
        <w:spacing w:after="0" w:before="0" w:line="276" w:lineRule="auto"/>
        <w:ind/>
        <w:rPr/>
      </w:pPr>
      <w:r>
        <w:t xml:space="preserve">wspieranie działań służących aktywizacji osób starszych, wspierające ich uczestnictwo w życiu społecznym, w tym uczestnictwo w działaniach edukacyjnych, kulturalnych </w:t>
        <w:br/>
        <w:t xml:space="preserve">i rekreacyjnych,</w:t>
      </w:r>
      <w:r/>
    </w:p>
    <w:p w14:paraId="6737CB61">
      <w:pPr>
        <w:pStyle w:val="845"/>
        <w:numPr>
          <w:ilvl w:val="0"/>
          <w:numId w:val="26"/>
        </w:numPr>
        <w:pBdr/>
        <w:spacing w:after="0" w:before="0" w:line="276" w:lineRule="auto"/>
        <w:ind/>
        <w:rPr/>
      </w:pPr>
      <w:r>
        <w:t xml:space="preserve">wspieranie działań na rzecz wyrównywania poziomu życia osób w wieku emerytalnym,</w:t>
      </w:r>
      <w:r/>
    </w:p>
    <w:p w14:paraId="47BCC2D1">
      <w:pPr>
        <w:pStyle w:val="845"/>
        <w:numPr>
          <w:ilvl w:val="0"/>
          <w:numId w:val="26"/>
        </w:numPr>
        <w:pBdr/>
        <w:spacing w:after="40" w:before="0" w:line="276" w:lineRule="auto"/>
        <w:ind/>
        <w:rPr/>
      </w:pPr>
      <w:r>
        <w:t xml:space="preserve">wspieranie działalności mającej na celu właściwe wykorzystywanie wolnego czasu osób w wieku emerytalnym.</w:t>
      </w:r>
      <w:r/>
    </w:p>
    <w:p w14:paraId="0D66365B">
      <w:pPr>
        <w:pStyle w:val="845"/>
        <w:numPr>
          <w:ilvl w:val="3"/>
          <w:numId w:val="25"/>
        </w:numPr>
        <w:pBdr/>
        <w:spacing w:after="40" w:before="0" w:line="276" w:lineRule="auto"/>
        <w:ind w:hanging="360" w:left="426"/>
        <w:rPr/>
      </w:pPr>
      <w:r>
        <w:t xml:space="preserve">Zadania z zakresu działalności wspomagającej rozwój wspólnot i społeczności lokalnych </w:t>
        <w:br/>
        <w:t xml:space="preserve">w tym:</w:t>
      </w:r>
      <w:r/>
    </w:p>
    <w:p w14:paraId="586BC525">
      <w:pPr>
        <w:pStyle w:val="845"/>
        <w:numPr>
          <w:ilvl w:val="0"/>
          <w:numId w:val="27"/>
        </w:numPr>
        <w:pBdr/>
        <w:spacing w:after="0" w:before="0" w:line="276" w:lineRule="auto"/>
        <w:ind/>
        <w:rPr/>
      </w:pPr>
      <w:r>
        <w:t xml:space="preserve">wspieranie działań mających na celu aktywizację społeczeństwa w zakresie estetyzacji otoczenia,</w:t>
      </w:r>
      <w:r/>
    </w:p>
    <w:p w14:paraId="12E5618F">
      <w:pPr>
        <w:pStyle w:val="845"/>
        <w:numPr>
          <w:ilvl w:val="0"/>
          <w:numId w:val="27"/>
        </w:numPr>
        <w:pBdr/>
        <w:spacing w:after="40" w:before="0" w:line="276" w:lineRule="auto"/>
        <w:ind/>
        <w:rPr/>
      </w:pPr>
      <w:r>
        <w:t xml:space="preserve">działania wspierające oraz promujące aktywność społeczną.</w:t>
      </w:r>
      <w:r/>
    </w:p>
    <w:p w14:paraId="4FE73B0A">
      <w:pPr>
        <w:pStyle w:val="845"/>
        <w:numPr>
          <w:ilvl w:val="3"/>
          <w:numId w:val="25"/>
        </w:numPr>
        <w:pBdr/>
        <w:spacing w:after="40" w:before="0" w:line="276" w:lineRule="auto"/>
        <w:ind w:hanging="284" w:left="284"/>
        <w:rPr/>
      </w:pPr>
      <w:r>
        <w:t xml:space="preserve">Zadania z zakresu ekologii i ochrony zwierząt oraz ochrony dziedzictwa przyrodniczego</w:t>
        <w:br/>
        <w:t xml:space="preserve">w tym:</w:t>
      </w:r>
      <w:r/>
    </w:p>
    <w:p w14:paraId="4B669C2C">
      <w:pPr>
        <w:pStyle w:val="845"/>
        <w:numPr>
          <w:ilvl w:val="0"/>
          <w:numId w:val="28"/>
        </w:numPr>
        <w:pBdr/>
        <w:spacing w:after="0" w:before="0" w:line="276" w:lineRule="auto"/>
        <w:ind/>
        <w:rPr/>
      </w:pPr>
      <w:r>
        <w:t xml:space="preserve">edukacja ekologiczna i ochrona środowiska,</w:t>
      </w:r>
      <w:r/>
    </w:p>
    <w:p w14:paraId="1238712D">
      <w:pPr>
        <w:pStyle w:val="845"/>
        <w:numPr>
          <w:ilvl w:val="0"/>
          <w:numId w:val="28"/>
        </w:numPr>
        <w:pBdr/>
        <w:spacing w:after="40" w:before="0" w:line="276" w:lineRule="auto"/>
        <w:ind/>
        <w:rPr/>
      </w:pPr>
      <w:r>
        <w:t xml:space="preserve">ochrona zwierząt.</w:t>
      </w:r>
      <w:r/>
    </w:p>
    <w:p w14:paraId="75029158">
      <w:pPr>
        <w:pStyle w:val="845"/>
        <w:numPr>
          <w:ilvl w:val="0"/>
          <w:numId w:val="31"/>
        </w:numPr>
        <w:pBdr/>
        <w:spacing w:after="40" w:before="0" w:line="276" w:lineRule="auto"/>
        <w:ind w:hanging="284" w:left="284"/>
        <w:rPr/>
      </w:pPr>
      <w:r>
        <w:t xml:space="preserve">Zadania z zakresu podtrzymywania lokalnej tradycji kulturowej oraz rozwoju świadomości obywatelskiej w tym:</w:t>
      </w:r>
      <w:r/>
    </w:p>
    <w:p w14:paraId="71CFB02D">
      <w:pPr>
        <w:pStyle w:val="845"/>
        <w:numPr>
          <w:ilvl w:val="0"/>
          <w:numId w:val="28"/>
        </w:numPr>
        <w:pBdr/>
        <w:spacing w:after="0" w:before="0" w:line="276" w:lineRule="auto"/>
        <w:ind/>
        <w:rPr/>
      </w:pPr>
      <w:r>
        <w:t xml:space="preserve">dokumentowanie historii i teraźniejszości regionu,</w:t>
      </w:r>
      <w:r/>
    </w:p>
    <w:p w14:paraId="66A865C4">
      <w:pPr>
        <w:pStyle w:val="845"/>
        <w:numPr>
          <w:ilvl w:val="0"/>
          <w:numId w:val="28"/>
        </w:numPr>
        <w:pBdr/>
        <w:spacing w:after="40" w:before="0" w:line="276" w:lineRule="auto"/>
        <w:ind/>
        <w:rPr/>
      </w:pPr>
      <w:r>
        <w:t xml:space="preserve">podtrzymywanie i ochrona dóbr kultury i tradycji.</w:t>
      </w:r>
      <w:r/>
    </w:p>
    <w:p w14:paraId="6B9FCAA3">
      <w:pPr>
        <w:pStyle w:val="845"/>
        <w:pBdr/>
        <w:spacing w:after="40" w:before="0" w:line="276" w:lineRule="auto"/>
        <w:ind/>
        <w:rPr/>
      </w:pPr>
      <w:r/>
      <w:r/>
    </w:p>
    <w:p w14:paraId="1D3E3B14">
      <w:pPr>
        <w:pStyle w:val="845"/>
        <w:pBdr/>
        <w:spacing w:after="40" w:before="0" w:line="276" w:lineRule="auto"/>
        <w:ind/>
        <w:rPr/>
      </w:pPr>
      <w:r/>
      <w:r/>
    </w:p>
    <w:p w14:paraId="7CD8EA4F">
      <w:pPr>
        <w:pStyle w:val="845"/>
        <w:pBdr/>
        <w:spacing w:after="40" w:before="0" w:line="276" w:lineRule="auto"/>
        <w:ind/>
        <w:rPr/>
      </w:pPr>
      <w:r>
        <w:rPr>
          <w:highlight w:val="none"/>
        </w:rPr>
      </w:r>
      <w:r>
        <w:rPr>
          <w:highlight w:val="none"/>
        </w:rPr>
      </w:r>
      <w:r/>
    </w:p>
    <w:p w14:paraId="1F8EA711">
      <w:pPr>
        <w:pStyle w:val="845"/>
        <w:numPr>
          <w:ilvl w:val="3"/>
          <w:numId w:val="32"/>
        </w:numPr>
        <w:pBdr/>
        <w:spacing w:after="40" w:before="0" w:line="276" w:lineRule="auto"/>
        <w:ind w:hanging="284" w:left="284"/>
        <w:rPr/>
      </w:pPr>
      <w:r>
        <w:t xml:space="preserve">Zadania z zakresu podtrzymywania lokalnej tradycji kulturowej oraz rozwoju świadomości obywatelskiej w tym:</w:t>
      </w:r>
      <w:r/>
    </w:p>
    <w:p w14:paraId="4093CD73">
      <w:pPr>
        <w:pStyle w:val="845"/>
        <w:numPr>
          <w:ilvl w:val="3"/>
          <w:numId w:val="30"/>
        </w:numPr>
        <w:pBdr/>
        <w:spacing w:after="0" w:before="0" w:line="276" w:lineRule="auto"/>
        <w:ind w:hanging="360" w:left="709"/>
        <w:rPr/>
      </w:pPr>
      <w:r>
        <w:t xml:space="preserve">dokumentowanie historii i teraźniejszości regionu,</w:t>
      </w:r>
      <w:r/>
    </w:p>
    <w:p w14:paraId="55DB4915">
      <w:pPr>
        <w:pStyle w:val="845"/>
        <w:numPr>
          <w:ilvl w:val="3"/>
          <w:numId w:val="30"/>
        </w:numPr>
        <w:pBdr/>
        <w:spacing w:after="40" w:before="0" w:line="276" w:lineRule="auto"/>
        <w:ind w:hanging="360" w:left="709"/>
        <w:rPr/>
      </w:pPr>
      <w:r>
        <w:t xml:space="preserve">podtrzymywanie i ochrona dóbr kultury i tradycji.</w:t>
      </w:r>
      <w:r/>
    </w:p>
    <w:p w14:paraId="68AD6DFB">
      <w:pPr>
        <w:pStyle w:val="845"/>
        <w:numPr>
          <w:ilvl w:val="3"/>
          <w:numId w:val="32"/>
        </w:numPr>
        <w:pBdr/>
        <w:spacing w:after="40" w:before="0" w:line="276" w:lineRule="auto"/>
        <w:ind w:hanging="284" w:left="284"/>
        <w:rPr/>
      </w:pPr>
      <w:r>
        <w:t xml:space="preserve">Zadania z zakresu rozpowszechniania i propagowania kultury fizycznej:</w:t>
      </w:r>
      <w:r/>
    </w:p>
    <w:p w14:paraId="5D8363C1">
      <w:pPr>
        <w:pStyle w:val="845"/>
        <w:numPr>
          <w:ilvl w:val="0"/>
          <w:numId w:val="29"/>
        </w:numPr>
        <w:pBdr/>
        <w:spacing w:after="0" w:before="0" w:line="276" w:lineRule="auto"/>
        <w:ind/>
        <w:rPr/>
      </w:pPr>
      <w:r>
        <w:t xml:space="preserve">organizowanie przygotowań i uczestnictwo w lokalnych, regionalnych, ogólnopolskich i międzynarodowych imprezach sportowych i rekreacyjnych,</w:t>
      </w:r>
      <w:r/>
    </w:p>
    <w:p w14:paraId="5838ECDA">
      <w:pPr>
        <w:pStyle w:val="845"/>
        <w:numPr>
          <w:ilvl w:val="0"/>
          <w:numId w:val="29"/>
        </w:numPr>
        <w:pBdr/>
        <w:spacing w:after="0" w:before="0" w:line="276" w:lineRule="auto"/>
        <w:ind/>
        <w:rPr/>
      </w:pPr>
      <w:r>
        <w:t xml:space="preserve">organizowanie szkoleń oraz obozów szkoleniowo-rekreacyjnych dla dzieci · i młodzieży,</w:t>
      </w:r>
      <w:r/>
    </w:p>
    <w:p w14:paraId="52804DAE">
      <w:pPr>
        <w:pStyle w:val="845"/>
        <w:numPr>
          <w:ilvl w:val="0"/>
          <w:numId w:val="29"/>
        </w:numPr>
        <w:pBdr/>
        <w:spacing w:after="0" w:before="0" w:line="276" w:lineRule="auto"/>
        <w:ind/>
        <w:rPr/>
      </w:pPr>
      <w:r>
        <w:t xml:space="preserve">organizowanie zajęć sportowo-rekreacyjnych w czasie wolnym od zajęć szkolnych: ferie, wakacje,</w:t>
      </w:r>
      <w:r/>
    </w:p>
    <w:p w14:paraId="401B5A95">
      <w:pPr>
        <w:pStyle w:val="845"/>
        <w:numPr>
          <w:ilvl w:val="0"/>
          <w:numId w:val="29"/>
        </w:numPr>
        <w:pBdr/>
        <w:spacing w:after="0" w:before="0" w:line="276" w:lineRule="auto"/>
        <w:ind/>
        <w:rPr/>
      </w:pPr>
      <w:r>
        <w:t xml:space="preserve">organizowanie imprez sportowo – rekreacyjnych dla dzieci, młodzieży i mieszkańców gminy rozwijających ich sprawność fizyczną,</w:t>
      </w:r>
      <w:r/>
    </w:p>
    <w:p w14:paraId="30791A45">
      <w:pPr>
        <w:pStyle w:val="845"/>
        <w:numPr>
          <w:ilvl w:val="0"/>
          <w:numId w:val="29"/>
        </w:numPr>
        <w:pBdr/>
        <w:spacing w:after="40" w:before="0" w:line="276" w:lineRule="auto"/>
        <w:ind/>
        <w:rPr/>
      </w:pPr>
      <w:r>
        <w:t xml:space="preserve">tworzenie odpowiednich warunków materialno-technicznych dla rozwoju rekreacji ruchowej i sportu wśród dzieci, młodzieży i mieszkańców gminy.</w:t>
      </w:r>
      <w:r/>
    </w:p>
    <w:p w14:paraId="539D5247">
      <w:pPr>
        <w:pStyle w:val="845"/>
        <w:pBdr/>
        <w:spacing w:after="60" w:before="0" w:line="276" w:lineRule="auto"/>
        <w:ind/>
        <w:jc w:val="both"/>
        <w:rPr>
          <w:highlight w:val="yellow"/>
        </w:rPr>
      </w:pPr>
      <w:r>
        <w:t xml:space="preserve">Oprócz wyżej wymienionych, Gmina Braniewo na podstawie otwartego konkursu ofer</w:t>
      </w:r>
      <w:r>
        <w:t xml:space="preserve">t ogłoszonego w 2021 r., zleciła organizacji pozarządowej realizację zadania z zakresu pomocy społecznej. Zadanie to polega na prowadzeniu Środowiskowego Domu Samopomocy </w:t>
        <w:br/>
        <w:t xml:space="preserve">w Żelaznej Górze. Zadanie ma charakter wieloletni, jest przekazane na lata 2022-2026.</w:t>
      </w:r>
      <w:r>
        <w:rPr>
          <w:highlight w:val="yellow"/>
        </w:rPr>
      </w:r>
      <w:r>
        <w:rPr>
          <w:highlight w:val="yellow"/>
        </w:rPr>
      </w:r>
    </w:p>
    <w:p w14:paraId="69554415">
      <w:pPr>
        <w:pStyle w:val="845"/>
        <w:pBdr/>
        <w:spacing w:after="60" w:before="0" w:line="276" w:lineRule="auto"/>
        <w:ind/>
        <w:rPr/>
      </w:pPr>
      <w:r>
        <w:rPr>
          <w:highlight w:val="none"/>
        </w:rPr>
      </w:r>
      <w:r/>
    </w:p>
    <w:p w14:paraId="5D9977CE">
      <w:pPr>
        <w:pStyle w:val="845"/>
        <w:pBdr/>
        <w:spacing w:after="60" w:before="0" w:line="276" w:lineRule="auto"/>
        <w:ind/>
        <w:rPr>
          <w:b/>
          <w:bCs/>
          <w:highlight w:val="none"/>
        </w:rPr>
      </w:pPr>
      <w:r>
        <w:rPr>
          <w:b/>
          <w:bCs/>
          <w:highlight w:val="yellow"/>
        </w:rPr>
      </w:r>
      <w:r>
        <w:rPr>
          <w:b/>
          <w:bCs/>
        </w:rPr>
      </w:r>
      <w:bookmarkStart w:id="19" w:name="_Toc226230129"/>
      <w:r>
        <w:rPr>
          <w:b/>
          <w:bCs/>
        </w:rPr>
        <w:t xml:space="preserve">4. Cele i obszary interwencji</w:t>
      </w:r>
      <w:bookmarkEnd w:id="19"/>
      <w:r>
        <w:rPr>
          <w:b/>
          <w:bCs/>
          <w:highlight w:val="none"/>
        </w:rPr>
      </w:r>
      <w:r>
        <w:rPr>
          <w:b/>
          <w:bCs/>
          <w:highlight w:val="none"/>
        </w:rPr>
      </w:r>
    </w:p>
    <w:p w14:paraId="56D8ECC4">
      <w:pPr>
        <w:pStyle w:val="845"/>
        <w:pBdr/>
        <w:spacing w:after="60" w:before="0" w:line="276" w:lineRule="auto"/>
        <w:ind/>
        <w:rPr/>
      </w:pPr>
      <w:r>
        <w:t xml:space="preserve">Cele </w:t>
      </w:r>
      <w:r>
        <w:rPr>
          <w:i/>
          <w:iCs/>
        </w:rPr>
        <w:t xml:space="preserve">Lokalnego Planu Deinstytucjonalizacji Usług Społecznych w Gminie Braniewo na lata 2026-2030 </w:t>
      </w:r>
      <w:r>
        <w:t xml:space="preserve">są następujące:</w:t>
      </w:r>
      <w:r/>
    </w:p>
    <w:p w14:paraId="24D01D5F">
      <w:pPr>
        <w:pStyle w:val="845"/>
        <w:numPr>
          <w:ilvl w:val="0"/>
          <w:numId w:val="9"/>
        </w:numPr>
        <w:pBdr/>
        <w:spacing w:after="0" w:before="0"/>
        <w:ind/>
        <w:rPr/>
      </w:pPr>
      <w:r>
        <w:t xml:space="preserve">określenie kierunków rozwoju usług społecznych oraz deinstytucjonalizacji na poziomie lokalnym, </w:t>
      </w:r>
      <w:r/>
    </w:p>
    <w:p w14:paraId="74BAA80D">
      <w:pPr>
        <w:pStyle w:val="845"/>
        <w:numPr>
          <w:ilvl w:val="0"/>
          <w:numId w:val="9"/>
        </w:numPr>
        <w:pBdr/>
        <w:spacing w:after="0" w:before="0"/>
        <w:ind/>
        <w:rPr/>
      </w:pPr>
      <w:r>
        <w:t xml:space="preserve">powiązanie dostępnych źródeł finansowania, w szczególności funduszy europejskich, </w:t>
      </w:r>
      <w:r>
        <w:br/>
      </w:r>
      <w:r>
        <w:t xml:space="preserve">a także innych źródeł finansowych z lokalnymi celami i działaniami w obszarze usług społecznych i deinstytucjonalizacji, </w:t>
      </w:r>
      <w:r/>
    </w:p>
    <w:p w14:paraId="10B0FD81">
      <w:pPr>
        <w:pStyle w:val="845"/>
        <w:numPr>
          <w:ilvl w:val="0"/>
          <w:numId w:val="9"/>
        </w:numPr>
        <w:pBdr/>
        <w:spacing w:after="160" w:before="0"/>
        <w:ind/>
        <w:jc w:val="both"/>
        <w:rPr/>
      </w:pPr>
      <w:r>
        <w:t xml:space="preserve">skoordynowanie działań podejmowanych przez różne podmioty na terenie gminy przy uwzględnieniu potencjału i zasobów sektora obywatelskiego i partnerów społecznych.</w:t>
      </w:r>
      <w:r/>
    </w:p>
    <w:p w14:paraId="674F1B06">
      <w:pPr>
        <w:pStyle w:val="845"/>
        <w:pBdr/>
        <w:spacing/>
        <w:ind/>
        <w:jc w:val="both"/>
        <w:rPr/>
      </w:pPr>
      <w:r>
        <w:t xml:space="preserve">Obszary interwencji zostały określone z uwzględnieniem zarówno uwarunkowań strategicznych i programowych w zakresie deinstytucjonalizacji, jak i rekomendacji wynikających z przeprowadzonej diagnozy. Są to:</w:t>
      </w:r>
      <w:r/>
    </w:p>
    <w:p w14:paraId="7F143A11">
      <w:pPr>
        <w:pStyle w:val="930"/>
        <w:numPr>
          <w:ilvl w:val="0"/>
          <w:numId w:val="10"/>
        </w:numPr>
        <w:pBdr/>
        <w:spacing w:after="0" w:before="0"/>
        <w:ind w:hanging="357" w:left="714"/>
        <w:contextualSpacing w:val="false"/>
        <w:rPr/>
      </w:pPr>
      <w:r>
        <w:t xml:space="preserve">Rodziny z dziećmi.</w:t>
      </w:r>
      <w:r/>
    </w:p>
    <w:p w14:paraId="77DCB8DF">
      <w:pPr>
        <w:pStyle w:val="930"/>
        <w:numPr>
          <w:ilvl w:val="0"/>
          <w:numId w:val="10"/>
        </w:numPr>
        <w:pBdr/>
        <w:spacing w:after="0" w:before="0"/>
        <w:ind w:hanging="357" w:left="714"/>
        <w:contextualSpacing w:val="false"/>
        <w:rPr/>
      </w:pPr>
      <w:r>
        <w:t xml:space="preserve">Osoby starsze.</w:t>
      </w:r>
      <w:r/>
    </w:p>
    <w:p w14:paraId="7676CEFD">
      <w:pPr>
        <w:pStyle w:val="930"/>
        <w:numPr>
          <w:ilvl w:val="0"/>
          <w:numId w:val="10"/>
        </w:numPr>
        <w:pBdr/>
        <w:spacing w:after="0" w:before="0"/>
        <w:ind w:hanging="357" w:left="714"/>
        <w:contextualSpacing w:val="false"/>
        <w:rPr/>
      </w:pPr>
      <w:r>
        <w:t xml:space="preserve">Osoby z niepełnosprawnościami.</w:t>
      </w:r>
      <w:r/>
    </w:p>
    <w:p w14:paraId="19B00830">
      <w:pPr>
        <w:pStyle w:val="930"/>
        <w:numPr>
          <w:ilvl w:val="0"/>
          <w:numId w:val="10"/>
        </w:numPr>
        <w:pBdr/>
        <w:spacing w:after="0" w:before="0"/>
        <w:ind w:hanging="357" w:left="714"/>
        <w:contextualSpacing w:val="false"/>
        <w:rPr/>
      </w:pPr>
      <w:r/>
      <w:bookmarkStart w:id="20" w:name="_Hlk143117494"/>
      <w:r>
        <w:t xml:space="preserve">Osoby z zaburzeniami psychicznymi oraz w kryzysie zdrowia psychicznego.</w:t>
      </w:r>
      <w:r/>
    </w:p>
    <w:p w14:paraId="3B0C4CA9">
      <w:pPr>
        <w:pStyle w:val="930"/>
        <w:numPr>
          <w:ilvl w:val="0"/>
          <w:numId w:val="10"/>
        </w:numPr>
        <w:pBdr/>
        <w:spacing w:after="160" w:before="0"/>
        <w:ind w:hanging="357" w:left="714"/>
        <w:contextualSpacing w:val="false"/>
        <w:rPr/>
      </w:pPr>
      <w:r>
        <w:t xml:space="preserve">Osoby w kryzysie bezdomności i zagrożone bezdomnością.</w:t>
      </w:r>
      <w:bookmarkEnd w:id="20"/>
      <w:r/>
      <w:r/>
    </w:p>
    <w:p w14:paraId="081B2D55">
      <w:pPr>
        <w:pStyle w:val="845"/>
        <w:pBdr/>
        <w:spacing/>
        <w:ind/>
        <w:jc w:val="both"/>
        <w:rPr/>
      </w:pPr>
      <w:r>
        <w:t xml:space="preserve">W ramach każdego obszaru interwencji ujmowane są również rodziny i osoby bliskie w zakresie jaki jest niezbędny pod kątem realizacji usług. Każdy obszar obejmuje planowane działania, realizatorów oraz źródła finansowania. </w:t>
      </w:r>
      <w:r/>
    </w:p>
    <w:p w14:paraId="6A298DB2">
      <w:pPr>
        <w:pStyle w:val="845"/>
        <w:pBdr/>
        <w:spacing/>
        <w:ind/>
        <w:rPr>
          <w:highlight w:val="yellow"/>
        </w:rPr>
      </w:pPr>
      <w:r>
        <w:rPr>
          <w:highlight w:val="yellow"/>
        </w:rPr>
      </w:r>
      <w:r>
        <w:rPr>
          <w:highlight w:val="yellow"/>
        </w:rPr>
      </w:r>
      <w:r>
        <w:rPr>
          <w:highlight w:val="yellow"/>
        </w:rPr>
      </w:r>
    </w:p>
    <w:p w14:paraId="28AE205C">
      <w:pPr>
        <w:pStyle w:val="845"/>
        <w:pBdr/>
        <w:spacing/>
        <w:ind/>
        <w:rPr>
          <w:highlight w:val="yellow"/>
        </w:rPr>
      </w:pPr>
      <w:r>
        <w:rPr>
          <w:highlight w:val="yellow"/>
        </w:rPr>
      </w:r>
      <w:r>
        <w:rPr>
          <w:highlight w:val="yellow"/>
        </w:rPr>
      </w:r>
      <w:r>
        <w:rPr>
          <w:highlight w:val="yellow"/>
        </w:rPr>
      </w:r>
    </w:p>
    <w:p w14:paraId="5C27FA30">
      <w:pPr>
        <w:pStyle w:val="845"/>
        <w:pBdr/>
        <w:spacing w:after="160" w:before="0"/>
        <w:ind/>
        <w:rPr>
          <w:highlight w:val="yellow"/>
        </w:rPr>
        <w:sectPr>
          <w:footnotePr>
            <w:numFmt w:val="decimal"/>
          </w:footnotePr>
          <w:endnotePr/>
          <w:type w:val="nextPage"/>
          <w:pgSz w:h="16838" w:orient="portrait" w:w="11906"/>
          <w:pgMar w:top="425" w:right="1417" w:bottom="1417" w:left="1417" w:header="709" w:footer="709" w:gutter="0"/>
          <w:cols w:num="1" w:sep="0" w:space="1701" w:equalWidth="1"/>
          <w:titlePg/>
        </w:sectPr>
      </w:pPr>
      <w:r>
        <w:rPr>
          <w:highlight w:val="yellow"/>
        </w:rPr>
      </w:r>
      <w:r>
        <w:rPr>
          <w:highlight w:val="yellow"/>
        </w:rPr>
      </w:r>
      <w:r>
        <w:rPr>
          <w:highlight w:val="yellow"/>
        </w:rPr>
      </w:r>
    </w:p>
    <w:p w14:paraId="58D3C658">
      <w:pPr>
        <w:pStyle w:val="847"/>
        <w:pBdr/>
        <w:spacing/>
        <w:ind/>
        <w:rPr/>
      </w:pPr>
      <w:r/>
      <w:bookmarkStart w:id="21" w:name="_Toc226230130"/>
      <w:r>
        <w:t xml:space="preserve">4.1. Rodziny z dziećmi</w:t>
      </w:r>
      <w:bookmarkEnd w:id="21"/>
      <w:r/>
      <w:r/>
    </w:p>
    <w:tbl>
      <w:tblPr>
        <w:tblStyle w:val="938"/>
        <w:jc w:val="center"/>
        <w:tblInd w:w="0" w:type="dxa"/>
        <w:tblW w:w="14312" w:type="dxa"/>
        <w:tblCellMar>
          <w:left w:w="108" w:type="dxa"/>
          <w:top w:w="0" w:type="dxa"/>
          <w:right w:w="108" w:type="dxa"/>
          <w:bottom w:w="0" w:type="dxa"/>
        </w:tblCellMar>
        <w:tblBorders/>
        <w:tblLayout w:type="fixed"/>
        <w:tblLook w:val="04A0" w:firstRow="1" w:lastRow="0" w:firstColumn="1" w:lastColumn="0" w:noHBand="0" w:noVBand="1"/>
      </w:tblPr>
      <w:tblGrid>
        <w:gridCol w:w="420"/>
        <w:gridCol w:w="7513"/>
        <w:gridCol w:w="1417"/>
        <w:gridCol w:w="1843"/>
        <w:gridCol w:w="3119"/>
      </w:tblGrid>
      <w:tr>
        <w:trPr>
          <w:trHeight w:val="517"/>
        </w:trPr>
        <w:tc>
          <w:tcPr>
            <w:gridSpan w:val="5"/>
            <w:shd w:val="clear" w:color="ffffff" w:fill="ededed" w:themeFill="accent3" w:themeFillTint="33"/>
            <w:tcBorders/>
            <w:tcW w:w="14312" w:type="dxa"/>
            <w:vAlign w:val="center"/>
          </w:tcPr>
          <w:p w14:paraId="71806FB4">
            <w:pPr>
              <w:pStyle w:val="845"/>
              <w:widowControl w:val="true"/>
              <w:pBdr/>
              <w:spacing w:after="0" w:before="0" w:line="240" w:lineRule="auto"/>
              <w:ind/>
              <w:jc w:val="left"/>
              <w:rPr>
                <w:b/>
                <w:sz w:val="20"/>
                <w:szCs w:val="16"/>
              </w:rPr>
            </w:pPr>
            <w:r>
              <w:rPr>
                <w:rFonts w:eastAsia="Calibri" w:cs="Times New Roman"/>
                <w:b/>
                <w:sz w:val="20"/>
                <w:szCs w:val="16"/>
                <w:lang w:val="pl-PL" w:eastAsia="pl-PL" w:bidi="ar-SA"/>
              </w:rPr>
              <w:t xml:space="preserve">Cel ogólny: Zwiększenie dostępu do usług społecznych dla rodzin z dziećmi i młodzieży, w szczególności rodzin doświadczających trudności opiekuńczo-wychowawczych.</w:t>
            </w:r>
            <w:r>
              <w:rPr>
                <w:b/>
                <w:sz w:val="20"/>
                <w:szCs w:val="16"/>
              </w:rPr>
            </w:r>
            <w:r>
              <w:rPr>
                <w:b/>
                <w:sz w:val="20"/>
                <w:szCs w:val="16"/>
              </w:rPr>
            </w:r>
          </w:p>
        </w:tc>
      </w:tr>
      <w:tr>
        <w:trPr>
          <w:trHeight w:val="553"/>
        </w:trPr>
        <w:tc>
          <w:tcPr>
            <w:gridSpan w:val="5"/>
            <w:shd w:val="clear" w:color="ffffff" w:fill="ededed" w:themeFill="accent3" w:themeFillTint="33"/>
            <w:tcBorders/>
            <w:tcW w:w="14312" w:type="dxa"/>
            <w:vAlign w:val="center"/>
          </w:tcPr>
          <w:p w14:paraId="26D2A7D1">
            <w:pPr>
              <w:pStyle w:val="845"/>
              <w:widowControl w:val="true"/>
              <w:pBdr/>
              <w:spacing w:after="0" w:before="0" w:line="240" w:lineRule="auto"/>
              <w:ind/>
              <w:rPr>
                <w:b/>
                <w:sz w:val="20"/>
                <w:szCs w:val="16"/>
              </w:rPr>
            </w:pPr>
            <w:r>
              <w:rPr>
                <w:rFonts w:eastAsia="Calibri" w:cs="Times New Roman"/>
                <w:b/>
                <w:sz w:val="20"/>
                <w:szCs w:val="16"/>
                <w:lang w:val="pl-PL" w:eastAsia="pl-PL" w:bidi="ar-SA"/>
              </w:rPr>
              <w:t xml:space="preserve">Cel szczegółowy 1.</w:t>
            </w:r>
            <w:r>
              <w:rPr>
                <w:rFonts w:eastAsia="Calibri" w:cs="Arial" w:eastAsiaTheme="minorHAnsi" w:cstheme="minorBidi"/>
                <w:bCs/>
                <w:szCs w:val="22"/>
                <w:lang w:val="pl-PL" w:eastAsia="en-US" w:bidi="ar-SA"/>
                <w14:ligatures w14:val="standardContextual"/>
              </w:rPr>
              <w:t xml:space="preserve"> </w:t>
            </w:r>
            <w:r>
              <w:rPr>
                <w:rFonts w:eastAsia="Calibri" w:cs="Times New Roman"/>
                <w:b/>
                <w:bCs/>
                <w:sz w:val="20"/>
                <w:szCs w:val="16"/>
                <w:lang w:val="pl-PL" w:eastAsia="pl-PL" w:bidi="ar-SA"/>
              </w:rPr>
              <w:t xml:space="preserve">Zwiększenie kompetencji rodziców i opiekunów w zakresie opieki i wychowania dzieci.</w:t>
            </w:r>
            <w:r>
              <w:rPr>
                <w:b/>
                <w:sz w:val="20"/>
                <w:szCs w:val="16"/>
              </w:rPr>
            </w:r>
            <w:r>
              <w:rPr>
                <w:b/>
                <w:sz w:val="20"/>
                <w:szCs w:val="16"/>
              </w:rPr>
            </w:r>
          </w:p>
        </w:tc>
      </w:tr>
      <w:tr>
        <w:trPr>
          <w:trHeight w:val="514"/>
        </w:trPr>
        <w:tc>
          <w:tcPr>
            <w:shd w:val="clear" w:color="ffffff" w:fill="ffffff" w:themeFill="background1"/>
            <w:tcBorders/>
            <w:tcW w:w="420" w:type="dxa"/>
            <w:vAlign w:val="center"/>
          </w:tcPr>
          <w:p w14:paraId="396FE5AC">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Nr</w:t>
            </w:r>
            <w:r>
              <w:rPr>
                <w:b/>
                <w:sz w:val="20"/>
                <w:szCs w:val="16"/>
              </w:rPr>
            </w:r>
            <w:r>
              <w:rPr>
                <w:b/>
                <w:sz w:val="20"/>
                <w:szCs w:val="16"/>
              </w:rPr>
            </w:r>
          </w:p>
        </w:tc>
        <w:tc>
          <w:tcPr>
            <w:shd w:val="clear" w:color="ffffff" w:fill="ffffff" w:themeFill="background1"/>
            <w:tcBorders/>
            <w:tcW w:w="7513" w:type="dxa"/>
            <w:vAlign w:val="center"/>
          </w:tcPr>
          <w:p w14:paraId="69A8BC7D">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Działanie</w:t>
            </w:r>
            <w:r>
              <w:rPr>
                <w:b/>
                <w:sz w:val="20"/>
                <w:szCs w:val="16"/>
              </w:rPr>
            </w:r>
            <w:r>
              <w:rPr>
                <w:b/>
                <w:sz w:val="20"/>
                <w:szCs w:val="16"/>
              </w:rPr>
            </w:r>
          </w:p>
        </w:tc>
        <w:tc>
          <w:tcPr>
            <w:shd w:val="clear" w:color="ffffff" w:fill="ffffff" w:themeFill="background1"/>
            <w:tcBorders/>
            <w:tcW w:w="1417" w:type="dxa"/>
            <w:vAlign w:val="center"/>
          </w:tcPr>
          <w:p w14:paraId="5A240332">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Okres realizacji</w:t>
            </w:r>
            <w:r>
              <w:rPr>
                <w:b/>
                <w:sz w:val="20"/>
                <w:szCs w:val="16"/>
              </w:rPr>
            </w:r>
            <w:r>
              <w:rPr>
                <w:b/>
                <w:sz w:val="20"/>
                <w:szCs w:val="16"/>
              </w:rPr>
            </w:r>
          </w:p>
        </w:tc>
        <w:tc>
          <w:tcPr>
            <w:shd w:val="clear" w:color="ffffff" w:fill="ffffff" w:themeFill="background1"/>
            <w:tcBorders/>
            <w:tcW w:w="1843" w:type="dxa"/>
            <w:vAlign w:val="center"/>
          </w:tcPr>
          <w:p w14:paraId="67907C97">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Podmioty odpowiedzialne</w:t>
            </w:r>
            <w:r>
              <w:rPr>
                <w:b/>
                <w:sz w:val="20"/>
                <w:szCs w:val="16"/>
              </w:rPr>
            </w:r>
            <w:r>
              <w:rPr>
                <w:b/>
                <w:sz w:val="20"/>
                <w:szCs w:val="16"/>
              </w:rPr>
            </w:r>
          </w:p>
        </w:tc>
        <w:tc>
          <w:tcPr>
            <w:shd w:val="clear" w:color="ffffff" w:fill="ffffff" w:themeFill="background1"/>
            <w:tcBorders/>
            <w:tcW w:w="3119" w:type="dxa"/>
            <w:vAlign w:val="center"/>
          </w:tcPr>
          <w:p w14:paraId="73FBA691">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Źródło finansowania</w:t>
            </w:r>
            <w:r>
              <w:rPr>
                <w:b/>
                <w:sz w:val="20"/>
                <w:szCs w:val="16"/>
              </w:rPr>
            </w:r>
            <w:r>
              <w:rPr>
                <w:b/>
                <w:sz w:val="20"/>
                <w:szCs w:val="16"/>
              </w:rPr>
            </w:r>
          </w:p>
        </w:tc>
      </w:tr>
      <w:tr>
        <w:trPr>
          <w:trHeight w:val="847"/>
        </w:trPr>
        <w:tc>
          <w:tcPr>
            <w:shd w:val="clear" w:color="ffffff" w:fill="ffffff" w:themeFill="background1"/>
            <w:tcBorders/>
            <w:tcW w:w="420" w:type="dxa"/>
            <w:vAlign w:val="center"/>
          </w:tcPr>
          <w:p w14:paraId="1AB02916">
            <w:pPr>
              <w:pStyle w:val="845"/>
              <w:widowControl w:val="true"/>
              <w:pBdr/>
              <w:spacing w:after="0" w:before="0" w:line="240" w:lineRule="auto"/>
              <w:ind/>
              <w:jc w:val="center"/>
              <w:rPr>
                <w:bCs/>
                <w:sz w:val="20"/>
                <w:szCs w:val="16"/>
              </w:rPr>
            </w:pPr>
            <w:r/>
            <w:bookmarkStart w:id="22" w:name="_Hlk163146360"/>
            <w:r>
              <w:rPr>
                <w:rFonts w:eastAsia="Calibri" w:cs="Times New Roman"/>
                <w:bCs/>
                <w:sz w:val="20"/>
                <w:szCs w:val="16"/>
                <w:lang w:val="pl-PL" w:eastAsia="pl-PL" w:bidi="ar-SA"/>
              </w:rPr>
              <w:t xml:space="preserve">1.</w:t>
            </w:r>
            <w:r>
              <w:rPr>
                <w:bCs/>
                <w:sz w:val="20"/>
                <w:szCs w:val="16"/>
              </w:rPr>
            </w:r>
            <w:r>
              <w:rPr>
                <w:bCs/>
                <w:sz w:val="20"/>
                <w:szCs w:val="16"/>
              </w:rPr>
            </w:r>
          </w:p>
        </w:tc>
        <w:tc>
          <w:tcPr>
            <w:shd w:val="clear" w:color="ffffff" w:fill="ffffff" w:themeFill="background1"/>
            <w:tcBorders/>
            <w:tcW w:w="7513" w:type="dxa"/>
            <w:vAlign w:val="center"/>
          </w:tcPr>
          <w:p w14:paraId="2866E9F5">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Organizowanie różnych form edukacji rodziców i opiekunów, dotyczących w szczególności rozwiązywania problemów opiekuńczo-wychowawczych (np. „Szkoła dla rodziców”, trening kompetencji rodzicielskich).</w:t>
            </w:r>
            <w:r>
              <w:rPr>
                <w:bCs/>
                <w:sz w:val="20"/>
                <w:szCs w:val="16"/>
              </w:rPr>
            </w:r>
            <w:r>
              <w:rPr>
                <w:bCs/>
                <w:sz w:val="20"/>
                <w:szCs w:val="16"/>
              </w:rPr>
            </w:r>
          </w:p>
        </w:tc>
        <w:tc>
          <w:tcPr>
            <w:shd w:val="clear" w:color="ffffff" w:fill="ffffff" w:themeFill="background1"/>
            <w:tcBorders/>
            <w:tcW w:w="1417" w:type="dxa"/>
            <w:vAlign w:val="center"/>
          </w:tcPr>
          <w:p w14:paraId="60EAA5C0">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5C4B24FA">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 SP</w:t>
            </w:r>
            <w:r>
              <w:rPr>
                <w:bCs/>
                <w:sz w:val="20"/>
                <w:szCs w:val="16"/>
              </w:rPr>
            </w:r>
            <w:r>
              <w:rPr>
                <w:bCs/>
                <w:sz w:val="20"/>
                <w:szCs w:val="16"/>
              </w:rPr>
            </w:r>
          </w:p>
        </w:tc>
        <w:tc>
          <w:tcPr>
            <w:shd w:val="clear" w:color="ffffff" w:fill="ffffff" w:themeFill="background1"/>
            <w:tcBorders/>
            <w:tcW w:w="3119" w:type="dxa"/>
            <w:vAlign w:val="center"/>
          </w:tcPr>
          <w:p w14:paraId="61CC6CEA">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r>
        <w:trPr>
          <w:trHeight w:val="425"/>
        </w:trPr>
        <w:tc>
          <w:tcPr>
            <w:shd w:val="clear" w:color="ffffff" w:fill="ffffff" w:themeFill="background1"/>
            <w:tcBorders/>
            <w:tcW w:w="420" w:type="dxa"/>
            <w:vAlign w:val="center"/>
          </w:tcPr>
          <w:p w14:paraId="302AD8AD">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w:t>
            </w:r>
            <w:r>
              <w:rPr>
                <w:bCs/>
                <w:sz w:val="20"/>
                <w:szCs w:val="16"/>
              </w:rPr>
            </w:r>
            <w:r>
              <w:rPr>
                <w:bCs/>
                <w:sz w:val="20"/>
                <w:szCs w:val="16"/>
              </w:rPr>
            </w:r>
          </w:p>
        </w:tc>
        <w:tc>
          <w:tcPr>
            <w:shd w:val="clear" w:color="ffffff" w:fill="ffffff" w:themeFill="background1"/>
            <w:tcBorders/>
            <w:tcW w:w="7513" w:type="dxa"/>
            <w:vAlign w:val="center"/>
          </w:tcPr>
          <w:p w14:paraId="620114ED">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Rozwój usług na rzecz osób i rodzin w zakresie rozwoju ich zainteresowań, aktywności społecznej, kulturalnej, sportowej, edukacyjnej, a także organizacji czasu wolnego, w tym poprzez animację i integrację międzypokoleniową.</w:t>
            </w:r>
            <w:r>
              <w:rPr>
                <w:bCs/>
                <w:sz w:val="20"/>
                <w:szCs w:val="16"/>
              </w:rPr>
            </w:r>
            <w:r>
              <w:rPr>
                <w:bCs/>
                <w:sz w:val="20"/>
                <w:szCs w:val="16"/>
              </w:rPr>
            </w:r>
          </w:p>
        </w:tc>
        <w:tc>
          <w:tcPr>
            <w:shd w:val="clear" w:color="ffffff" w:fill="ffffff" w:themeFill="background1"/>
            <w:tcBorders/>
            <w:tcW w:w="1417" w:type="dxa"/>
            <w:vAlign w:val="center"/>
          </w:tcPr>
          <w:p w14:paraId="5CCAA977">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070BC776">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 SP, GBP</w:t>
            </w:r>
            <w:r>
              <w:rPr>
                <w:bCs/>
                <w:sz w:val="20"/>
                <w:szCs w:val="16"/>
              </w:rPr>
            </w:r>
            <w:r>
              <w:rPr>
                <w:bCs/>
                <w:sz w:val="20"/>
                <w:szCs w:val="16"/>
              </w:rPr>
            </w:r>
          </w:p>
        </w:tc>
        <w:tc>
          <w:tcPr>
            <w:shd w:val="clear" w:color="ffffff" w:fill="ffffff" w:themeFill="background1"/>
            <w:tcBorders/>
            <w:tcW w:w="3119" w:type="dxa"/>
            <w:vAlign w:val="center"/>
          </w:tcPr>
          <w:p w14:paraId="08A448DB">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r>
        <w:trPr>
          <w:trHeight w:val="425"/>
        </w:trPr>
        <w:tc>
          <w:tcPr>
            <w:shd w:val="clear" w:color="ffffff" w:fill="ffffff" w:themeFill="background1"/>
            <w:tcBorders/>
            <w:tcW w:w="420" w:type="dxa"/>
            <w:vAlign w:val="center"/>
          </w:tcPr>
          <w:p w14:paraId="4DEF46AC">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3.</w:t>
            </w:r>
            <w:r>
              <w:rPr>
                <w:bCs/>
                <w:sz w:val="20"/>
                <w:szCs w:val="16"/>
              </w:rPr>
            </w:r>
            <w:r>
              <w:rPr>
                <w:bCs/>
                <w:sz w:val="20"/>
                <w:szCs w:val="16"/>
              </w:rPr>
            </w:r>
          </w:p>
        </w:tc>
        <w:tc>
          <w:tcPr>
            <w:shd w:val="clear" w:color="ffffff" w:fill="ffffff" w:themeFill="background1"/>
            <w:tcBorders/>
            <w:tcW w:w="7513" w:type="dxa"/>
            <w:vAlign w:val="center"/>
          </w:tcPr>
          <w:p w14:paraId="1B1DA666">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Zajęcia, warsztaty i spotkania profilaktyczne z zakresu przeciwdziałania przemocy, profilaktyki uzależnień i edukacji seksualnej, skierowane do rodziców i opiekunów, a także dzieci i młodzieży.</w:t>
            </w:r>
            <w:r>
              <w:rPr>
                <w:bCs/>
                <w:sz w:val="20"/>
                <w:szCs w:val="16"/>
              </w:rPr>
            </w:r>
            <w:r>
              <w:rPr>
                <w:bCs/>
                <w:sz w:val="20"/>
                <w:szCs w:val="16"/>
              </w:rPr>
            </w:r>
          </w:p>
        </w:tc>
        <w:tc>
          <w:tcPr>
            <w:shd w:val="clear" w:color="ffffff" w:fill="ffffff" w:themeFill="background1"/>
            <w:tcBorders/>
            <w:tcW w:w="1417" w:type="dxa"/>
            <w:vAlign w:val="center"/>
          </w:tcPr>
          <w:p w14:paraId="71B96503">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2E1AEAA5">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 SP, ZI</w:t>
            </w:r>
            <w:r>
              <w:rPr>
                <w:bCs/>
                <w:sz w:val="20"/>
                <w:szCs w:val="16"/>
              </w:rPr>
            </w:r>
            <w:r>
              <w:rPr>
                <w:bCs/>
                <w:sz w:val="20"/>
                <w:szCs w:val="16"/>
              </w:rPr>
            </w:r>
          </w:p>
        </w:tc>
        <w:tc>
          <w:tcPr>
            <w:shd w:val="clear" w:color="ffffff" w:fill="ffffff" w:themeFill="background1"/>
            <w:tcBorders/>
            <w:tcW w:w="3119" w:type="dxa"/>
            <w:vAlign w:val="center"/>
          </w:tcPr>
          <w:p w14:paraId="36302A73">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r>
        <w:trPr>
          <w:trHeight w:val="616"/>
        </w:trPr>
        <w:tc>
          <w:tcPr>
            <w:gridSpan w:val="5"/>
            <w:shd w:val="clear" w:color="ffffff" w:fill="ededed" w:themeFill="accent3" w:themeFillTint="33"/>
            <w:tcBorders/>
            <w:tcW w:w="14312" w:type="dxa"/>
            <w:vAlign w:val="center"/>
          </w:tcPr>
          <w:p w14:paraId="7E166566">
            <w:pPr>
              <w:pStyle w:val="845"/>
              <w:widowControl w:val="true"/>
              <w:pBdr/>
              <w:spacing w:after="0" w:before="0" w:line="240" w:lineRule="auto"/>
              <w:ind/>
              <w:jc w:val="left"/>
              <w:rPr>
                <w:b/>
              </w:rPr>
            </w:pPr>
            <w:r/>
            <w:bookmarkStart w:id="23" w:name="_Hlk163146651"/>
            <w:r/>
            <w:bookmarkEnd w:id="22"/>
            <w:r>
              <w:rPr>
                <w:rFonts w:eastAsia="Calibri" w:cs="Times New Roman"/>
                <w:b/>
                <w:sz w:val="20"/>
                <w:szCs w:val="16"/>
                <w:lang w:val="pl-PL" w:eastAsia="pl-PL" w:bidi="ar-SA"/>
              </w:rPr>
              <w:t xml:space="preserve">Cel szczegółowy 2. </w:t>
            </w:r>
            <w:r>
              <w:rPr>
                <w:rFonts w:eastAsia="Calibri" w:cs="Times New Roman"/>
                <w:b/>
                <w:bCs/>
                <w:sz w:val="20"/>
                <w:szCs w:val="16"/>
                <w:lang w:val="pl-PL" w:eastAsia="pl-PL" w:bidi="ar-SA"/>
              </w:rPr>
              <w:t xml:space="preserve">Zapewnienie rodzinom doświadczającym trudności dostępu do kompleksowego wsparcia.</w:t>
            </w:r>
            <w:r>
              <w:rPr>
                <w:b/>
              </w:rPr>
            </w:r>
            <w:r>
              <w:rPr>
                <w:b/>
              </w:rPr>
            </w:r>
          </w:p>
        </w:tc>
      </w:tr>
      <w:tr>
        <w:trPr>
          <w:trHeight w:val="426"/>
        </w:trPr>
        <w:tc>
          <w:tcPr>
            <w:shd w:val="clear" w:color="ffffff" w:fill="ffffff" w:themeFill="background1"/>
            <w:tcBorders/>
            <w:tcW w:w="420" w:type="dxa"/>
            <w:vAlign w:val="center"/>
          </w:tcPr>
          <w:p w14:paraId="5050E0A2">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Nr</w:t>
            </w:r>
            <w:r>
              <w:rPr>
                <w:bCs/>
              </w:rPr>
            </w:r>
            <w:r>
              <w:rPr>
                <w:bCs/>
              </w:rPr>
            </w:r>
          </w:p>
        </w:tc>
        <w:tc>
          <w:tcPr>
            <w:shd w:val="clear" w:color="ffffff" w:fill="ffffff" w:themeFill="background1"/>
            <w:tcBorders/>
            <w:tcW w:w="7513" w:type="dxa"/>
            <w:vAlign w:val="center"/>
          </w:tcPr>
          <w:p w14:paraId="06187580">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Działanie</w:t>
            </w:r>
            <w:r>
              <w:rPr>
                <w:bCs/>
              </w:rPr>
            </w:r>
            <w:r>
              <w:rPr>
                <w:bCs/>
              </w:rPr>
            </w:r>
          </w:p>
        </w:tc>
        <w:tc>
          <w:tcPr>
            <w:shd w:val="clear" w:color="ffffff" w:fill="ffffff" w:themeFill="background1"/>
            <w:tcBorders/>
            <w:tcW w:w="1417" w:type="dxa"/>
            <w:vAlign w:val="center"/>
          </w:tcPr>
          <w:p w14:paraId="4FF84725">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Okres realizacji</w:t>
            </w:r>
            <w:r>
              <w:rPr>
                <w:bCs/>
              </w:rPr>
            </w:r>
            <w:r>
              <w:rPr>
                <w:bCs/>
              </w:rPr>
            </w:r>
          </w:p>
        </w:tc>
        <w:tc>
          <w:tcPr>
            <w:shd w:val="clear" w:color="ffffff" w:fill="ffffff" w:themeFill="background1"/>
            <w:tcBorders/>
            <w:tcW w:w="1843" w:type="dxa"/>
            <w:vAlign w:val="center"/>
          </w:tcPr>
          <w:p w14:paraId="5F2B8B69">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Podmioty odpowiedzialne</w:t>
            </w:r>
            <w:r>
              <w:rPr>
                <w:bCs/>
              </w:rPr>
            </w:r>
            <w:r>
              <w:rPr>
                <w:bCs/>
              </w:rPr>
            </w:r>
          </w:p>
        </w:tc>
        <w:tc>
          <w:tcPr>
            <w:shd w:val="clear" w:color="ffffff" w:fill="ffffff" w:themeFill="background1"/>
            <w:tcBorders/>
            <w:tcW w:w="3119" w:type="dxa"/>
            <w:vAlign w:val="center"/>
          </w:tcPr>
          <w:p w14:paraId="3ADD2BC1">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Źródło finansowania</w:t>
            </w:r>
            <w:r>
              <w:rPr>
                <w:bCs/>
              </w:rPr>
            </w:r>
            <w:r>
              <w:rPr>
                <w:bCs/>
              </w:rPr>
            </w:r>
          </w:p>
        </w:tc>
      </w:tr>
      <w:tr>
        <w:trPr>
          <w:trHeight w:val="661"/>
        </w:trPr>
        <w:tc>
          <w:tcPr>
            <w:shd w:val="clear" w:color="ffffff" w:fill="ffffff" w:themeFill="background1"/>
            <w:tcBorders/>
            <w:tcW w:w="420" w:type="dxa"/>
            <w:vAlign w:val="center"/>
          </w:tcPr>
          <w:p w14:paraId="3572F011">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1.</w:t>
            </w:r>
            <w:r>
              <w:rPr>
                <w:bCs/>
                <w:sz w:val="20"/>
                <w:szCs w:val="16"/>
              </w:rPr>
            </w:r>
            <w:r>
              <w:rPr>
                <w:bCs/>
                <w:sz w:val="20"/>
                <w:szCs w:val="16"/>
              </w:rPr>
            </w:r>
          </w:p>
        </w:tc>
        <w:tc>
          <w:tcPr>
            <w:shd w:val="clear" w:color="ffffff" w:fill="ffffff" w:themeFill="background1"/>
            <w:tcBorders/>
            <w:tcW w:w="7513" w:type="dxa"/>
            <w:vAlign w:val="center"/>
          </w:tcPr>
          <w:p w14:paraId="5C06A21A">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Wsparcie rodzin z dziećmi, w szczególności przeżywających trudności opiekuńczo-wychowawcze poprzez pracę socjalną, asystenturę rodzinną i wsparcie terapeutyczne.</w:t>
            </w:r>
            <w:r>
              <w:rPr>
                <w:bCs/>
                <w:sz w:val="20"/>
                <w:szCs w:val="16"/>
              </w:rPr>
            </w:r>
            <w:r>
              <w:rPr>
                <w:bCs/>
                <w:sz w:val="20"/>
                <w:szCs w:val="16"/>
              </w:rPr>
            </w:r>
          </w:p>
        </w:tc>
        <w:tc>
          <w:tcPr>
            <w:shd w:val="clear" w:color="ffffff" w:fill="ffffff" w:themeFill="background1"/>
            <w:tcBorders/>
            <w:tcW w:w="1417" w:type="dxa"/>
            <w:vAlign w:val="center"/>
          </w:tcPr>
          <w:p w14:paraId="089DE48D">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1E7015A2">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w:t>
            </w:r>
            <w:r>
              <w:rPr>
                <w:bCs/>
                <w:sz w:val="20"/>
                <w:szCs w:val="16"/>
              </w:rPr>
            </w:r>
            <w:r>
              <w:rPr>
                <w:bCs/>
                <w:sz w:val="20"/>
                <w:szCs w:val="16"/>
              </w:rPr>
            </w:r>
          </w:p>
        </w:tc>
        <w:tc>
          <w:tcPr>
            <w:shd w:val="clear" w:color="ffffff" w:fill="ffffff" w:themeFill="background1"/>
            <w:tcBorders/>
            <w:tcW w:w="3119" w:type="dxa"/>
            <w:vAlign w:val="center"/>
          </w:tcPr>
          <w:p w14:paraId="4D14FB2E">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r>
        <w:trPr>
          <w:trHeight w:val="842"/>
        </w:trPr>
        <w:tc>
          <w:tcPr>
            <w:shd w:val="clear" w:color="ffffff" w:fill="ffffff" w:themeFill="background1"/>
            <w:tcBorders/>
            <w:tcW w:w="420" w:type="dxa"/>
            <w:vAlign w:val="center"/>
          </w:tcPr>
          <w:p w14:paraId="33812564">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w:t>
            </w:r>
            <w:r>
              <w:rPr>
                <w:bCs/>
                <w:sz w:val="20"/>
                <w:szCs w:val="16"/>
              </w:rPr>
            </w:r>
            <w:r>
              <w:rPr>
                <w:bCs/>
                <w:sz w:val="20"/>
                <w:szCs w:val="16"/>
              </w:rPr>
            </w:r>
          </w:p>
        </w:tc>
        <w:tc>
          <w:tcPr>
            <w:shd w:val="clear" w:color="ffffff" w:fill="ffffff" w:themeFill="background1"/>
            <w:tcBorders/>
            <w:tcW w:w="7513" w:type="dxa"/>
            <w:vAlign w:val="center"/>
          </w:tcPr>
          <w:p w14:paraId="7ECF9871">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Realizacja poradnictwa specjalistycznego, w tym psychologicznego, prawnego, socjalnego, pedagogicznego i innego w zależności od potrzeb.</w:t>
            </w:r>
            <w:r>
              <w:rPr>
                <w:bCs/>
                <w:sz w:val="20"/>
                <w:szCs w:val="16"/>
              </w:rPr>
            </w:r>
            <w:r>
              <w:rPr>
                <w:bCs/>
                <w:sz w:val="20"/>
                <w:szCs w:val="16"/>
              </w:rPr>
            </w:r>
          </w:p>
        </w:tc>
        <w:tc>
          <w:tcPr>
            <w:shd w:val="clear" w:color="ffffff" w:fill="ffffff" w:themeFill="background1"/>
            <w:tcBorders/>
            <w:tcW w:w="1417" w:type="dxa"/>
            <w:vAlign w:val="center"/>
          </w:tcPr>
          <w:p w14:paraId="3A316914">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4BB9699B">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w:t>
            </w:r>
            <w:r>
              <w:rPr>
                <w:bCs/>
                <w:sz w:val="20"/>
                <w:szCs w:val="16"/>
              </w:rPr>
            </w:r>
            <w:r>
              <w:rPr>
                <w:bCs/>
                <w:sz w:val="20"/>
                <w:szCs w:val="16"/>
              </w:rPr>
            </w:r>
          </w:p>
        </w:tc>
        <w:tc>
          <w:tcPr>
            <w:shd w:val="clear" w:color="ffffff" w:fill="ffffff" w:themeFill="background1"/>
            <w:tcBorders/>
            <w:tcW w:w="3119" w:type="dxa"/>
            <w:vAlign w:val="center"/>
          </w:tcPr>
          <w:p w14:paraId="2BAC2ED9">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r>
        <w:trPr>
          <w:trHeight w:val="836"/>
        </w:trPr>
        <w:tc>
          <w:tcPr>
            <w:shd w:val="clear" w:color="ffffff" w:fill="ffffff" w:themeFill="background1"/>
            <w:tcBorders/>
            <w:tcW w:w="420" w:type="dxa"/>
            <w:vAlign w:val="center"/>
          </w:tcPr>
          <w:p w14:paraId="34C6B418">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3.</w:t>
            </w:r>
            <w:r>
              <w:rPr>
                <w:bCs/>
                <w:sz w:val="20"/>
                <w:szCs w:val="16"/>
              </w:rPr>
            </w:r>
            <w:r>
              <w:rPr>
                <w:bCs/>
                <w:sz w:val="20"/>
                <w:szCs w:val="16"/>
              </w:rPr>
            </w:r>
          </w:p>
        </w:tc>
        <w:tc>
          <w:tcPr>
            <w:shd w:val="clear" w:color="ffffff" w:fill="ffffff" w:themeFill="background1"/>
            <w:tcBorders/>
            <w:tcW w:w="7513" w:type="dxa"/>
            <w:vAlign w:val="center"/>
          </w:tcPr>
          <w:p w14:paraId="7BC23E61">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Zapewnianie usług specjalistycznych osobom i rodzinom doświadczającym przemocy domowej oraz kryzysu, np. poprzez poradnictwo specjalistyczne i interwencję kryzysową</w:t>
            </w:r>
            <w:r>
              <w:rPr>
                <w:bCs/>
                <w:sz w:val="20"/>
                <w:szCs w:val="16"/>
              </w:rPr>
            </w:r>
            <w:r>
              <w:rPr>
                <w:bCs/>
                <w:sz w:val="20"/>
                <w:szCs w:val="16"/>
              </w:rPr>
            </w:r>
          </w:p>
        </w:tc>
        <w:tc>
          <w:tcPr>
            <w:shd w:val="clear" w:color="ffffff" w:fill="ffffff" w:themeFill="background1"/>
            <w:tcBorders/>
            <w:tcW w:w="1417" w:type="dxa"/>
            <w:vAlign w:val="center"/>
          </w:tcPr>
          <w:p w14:paraId="0D36DA4B">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1289BE1E">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 ZI</w:t>
            </w:r>
            <w:r>
              <w:rPr>
                <w:bCs/>
                <w:sz w:val="20"/>
                <w:szCs w:val="16"/>
              </w:rPr>
            </w:r>
            <w:r>
              <w:rPr>
                <w:bCs/>
                <w:sz w:val="20"/>
                <w:szCs w:val="16"/>
              </w:rPr>
            </w:r>
          </w:p>
        </w:tc>
        <w:tc>
          <w:tcPr>
            <w:shd w:val="clear" w:color="ffffff" w:fill="ffffff" w:themeFill="background1"/>
            <w:tcBorders/>
            <w:tcW w:w="3119" w:type="dxa"/>
            <w:vAlign w:val="center"/>
          </w:tcPr>
          <w:p w14:paraId="7ED58E58">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bookmarkEnd w:id="23"/>
            <w:r>
              <w:rPr>
                <w:bCs/>
                <w:sz w:val="20"/>
                <w:szCs w:val="16"/>
              </w:rPr>
            </w:r>
            <w:r>
              <w:rPr>
                <w:bCs/>
                <w:sz w:val="20"/>
                <w:szCs w:val="16"/>
              </w:rPr>
            </w:r>
          </w:p>
        </w:tc>
      </w:tr>
      <w:tr>
        <w:trPr>
          <w:trHeight w:val="835"/>
        </w:trPr>
        <w:tc>
          <w:tcPr>
            <w:shd w:val="clear" w:color="ffffff" w:fill="ffffff" w:themeFill="background1"/>
            <w:tcBorders/>
            <w:tcW w:w="420" w:type="dxa"/>
            <w:vAlign w:val="center"/>
          </w:tcPr>
          <w:p w14:paraId="4C2695E6">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4.</w:t>
            </w:r>
            <w:r>
              <w:rPr>
                <w:bCs/>
                <w:sz w:val="20"/>
                <w:szCs w:val="16"/>
              </w:rPr>
            </w:r>
            <w:r>
              <w:rPr>
                <w:bCs/>
                <w:sz w:val="20"/>
                <w:szCs w:val="16"/>
              </w:rPr>
            </w:r>
          </w:p>
        </w:tc>
        <w:tc>
          <w:tcPr>
            <w:shd w:val="clear" w:color="ffffff" w:fill="ffffff" w:themeFill="background1"/>
            <w:tcBorders/>
            <w:tcW w:w="7513" w:type="dxa"/>
            <w:vAlign w:val="center"/>
          </w:tcPr>
          <w:p w14:paraId="1DDF0DD7">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Podnoszenie kwalifikacji i kompetencji kadr na potrzeby świadczenia usług w społeczności lokalnej na rzecz rodziny, dzieci i młodzieży, w tym poprzez udział w szkoleniach i superwizji.</w:t>
            </w:r>
            <w:r>
              <w:rPr>
                <w:bCs/>
                <w:sz w:val="20"/>
                <w:szCs w:val="16"/>
              </w:rPr>
            </w:r>
            <w:r>
              <w:rPr>
                <w:bCs/>
                <w:sz w:val="20"/>
                <w:szCs w:val="16"/>
              </w:rPr>
            </w:r>
          </w:p>
        </w:tc>
        <w:tc>
          <w:tcPr>
            <w:shd w:val="clear" w:color="ffffff" w:fill="ffffff" w:themeFill="background1"/>
            <w:tcBorders/>
            <w:tcW w:w="1417" w:type="dxa"/>
            <w:vAlign w:val="center"/>
          </w:tcPr>
          <w:p w14:paraId="09612811">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2026-2030</w:t>
            </w:r>
            <w:r>
              <w:rPr>
                <w:bCs/>
                <w:sz w:val="20"/>
                <w:szCs w:val="16"/>
              </w:rPr>
            </w:r>
            <w:r>
              <w:rPr>
                <w:bCs/>
                <w:sz w:val="20"/>
                <w:szCs w:val="16"/>
              </w:rPr>
            </w:r>
          </w:p>
        </w:tc>
        <w:tc>
          <w:tcPr>
            <w:shd w:val="clear" w:color="ffffff" w:fill="ffffff" w:themeFill="background1"/>
            <w:tcBorders/>
            <w:tcW w:w="1843" w:type="dxa"/>
            <w:vAlign w:val="center"/>
          </w:tcPr>
          <w:p w14:paraId="501516BD">
            <w:pPr>
              <w:pStyle w:val="845"/>
              <w:widowControl w:val="true"/>
              <w:pBdr/>
              <w:spacing w:after="0" w:before="0" w:line="240" w:lineRule="auto"/>
              <w:ind/>
              <w:jc w:val="center"/>
              <w:rPr>
                <w:bCs/>
                <w:sz w:val="20"/>
                <w:szCs w:val="16"/>
              </w:rPr>
            </w:pPr>
            <w:r>
              <w:rPr>
                <w:rFonts w:eastAsia="Calibri" w:cs="Times New Roman"/>
                <w:bCs/>
                <w:sz w:val="20"/>
                <w:szCs w:val="16"/>
                <w:lang w:val="pl-PL" w:eastAsia="pl-PL" w:bidi="ar-SA"/>
              </w:rPr>
              <w:t xml:space="preserve">GOPS w Braniewie, SP</w:t>
            </w:r>
            <w:r>
              <w:rPr>
                <w:bCs/>
                <w:sz w:val="20"/>
                <w:szCs w:val="16"/>
              </w:rPr>
            </w:r>
            <w:r>
              <w:rPr>
                <w:bCs/>
                <w:sz w:val="20"/>
                <w:szCs w:val="16"/>
              </w:rPr>
            </w:r>
          </w:p>
        </w:tc>
        <w:tc>
          <w:tcPr>
            <w:shd w:val="clear" w:color="ffffff" w:fill="ffffff" w:themeFill="background1"/>
            <w:tcBorders/>
            <w:tcW w:w="3119" w:type="dxa"/>
            <w:vAlign w:val="center"/>
          </w:tcPr>
          <w:p w14:paraId="24BED61C">
            <w:pPr>
              <w:pStyle w:val="845"/>
              <w:widowControl w:val="true"/>
              <w:pBdr/>
              <w:spacing w:after="0" w:before="0" w:line="240" w:lineRule="auto"/>
              <w:ind/>
              <w:jc w:val="left"/>
              <w:rPr>
                <w:bCs/>
                <w:sz w:val="20"/>
                <w:szCs w:val="16"/>
              </w:rPr>
            </w:pPr>
            <w:r>
              <w:rPr>
                <w:rFonts w:eastAsia="Calibri" w:cs="Times New Roman"/>
                <w:bCs/>
                <w:sz w:val="20"/>
                <w:szCs w:val="16"/>
                <w:lang w:val="pl-PL" w:eastAsia="pl-PL" w:bidi="ar-SA"/>
              </w:rPr>
              <w:t xml:space="preserve">Budżet gminy, środki publiczne krajowe, Fundusze Europejskie dla Warmii i Mazur 2021-2027</w:t>
            </w:r>
            <w:r>
              <w:rPr>
                <w:bCs/>
                <w:sz w:val="20"/>
                <w:szCs w:val="16"/>
              </w:rPr>
            </w:r>
            <w:r>
              <w:rPr>
                <w:bCs/>
                <w:sz w:val="20"/>
                <w:szCs w:val="16"/>
              </w:rPr>
            </w:r>
          </w:p>
        </w:tc>
      </w:tr>
    </w:tbl>
    <w:p w14:paraId="367F31D0">
      <w:pPr>
        <w:pStyle w:val="845"/>
        <w:pBdr/>
        <w:spacing/>
        <w:ind/>
        <w:jc w:val="left"/>
        <w:rPr>
          <w:rFonts w:ascii="Calibri Light" w:hAnsi="Calibri Light" w:eastAsia="Arial" w:cs="Arial" w:asciiTheme="majorHAnsi" w:hAnsiTheme="majorHAnsi" w:eastAsiaTheme="majorEastAsia" w:cstheme="majorBidi"/>
          <w:b/>
          <w:color w:val="2f5496" w:themeColor="accent1" w:themeShade="BF"/>
          <w:sz w:val="16"/>
          <w:szCs w:val="16"/>
        </w:rPr>
      </w:pPr>
      <w:r>
        <w:rPr>
          <w:rFonts w:ascii="Calibri Light" w:hAnsi="Calibri Light" w:eastAsia="Arial" w:cs="Arial" w:eastAsiaTheme="majorEastAsia" w:cstheme="majorBidi"/>
          <w:b/>
          <w:color w:val="2f5496" w:themeColor="accent1" w:themeShade="BF"/>
          <w:sz w:val="16"/>
          <w:szCs w:val="16"/>
        </w:rPr>
      </w:r>
      <w:r>
        <w:rPr>
          <w:rFonts w:ascii="Calibri Light" w:hAnsi="Calibri Light" w:eastAsia="Arial" w:cs="Arial" w:asciiTheme="majorHAnsi" w:hAnsiTheme="majorHAnsi" w:eastAsiaTheme="majorEastAsia" w:cstheme="majorBidi"/>
          <w:b/>
          <w:color w:val="2f5496" w:themeColor="accent1" w:themeShade="BF"/>
          <w:sz w:val="16"/>
          <w:szCs w:val="16"/>
        </w:rPr>
      </w:r>
      <w:r>
        <w:rPr>
          <w:rFonts w:ascii="Calibri Light" w:hAnsi="Calibri Light" w:eastAsia="Arial" w:cs="Arial" w:asciiTheme="majorHAnsi" w:hAnsiTheme="majorHAnsi" w:eastAsiaTheme="majorEastAsia" w:cstheme="majorBidi"/>
          <w:b/>
          <w:color w:val="2f5496" w:themeColor="accent1" w:themeShade="BF"/>
          <w:sz w:val="16"/>
          <w:szCs w:val="16"/>
        </w:rPr>
      </w:r>
    </w:p>
    <w:p w14:paraId="5493D144">
      <w:pPr>
        <w:pStyle w:val="847"/>
        <w:pBdr/>
        <w:spacing/>
        <w:ind/>
        <w:rPr/>
      </w:pPr>
      <w:r>
        <w:rPr>
          <w:highlight w:val="none"/>
        </w:rPr>
      </w:r>
      <w:r>
        <w:rPr>
          <w:highlight w:val="none"/>
        </w:rPr>
      </w:r>
      <w:r/>
    </w:p>
    <w:p w14:paraId="6B2175F3">
      <w:pPr>
        <w:pStyle w:val="847"/>
        <w:pBdr/>
        <w:spacing/>
        <w:ind/>
        <w:rPr>
          <w:highlight w:val="none"/>
        </w:rPr>
      </w:pPr>
      <w:r/>
      <w:bookmarkStart w:id="24" w:name="_Toc226230131"/>
      <w:r>
        <w:t xml:space="preserve">4.2. Osoby starsze</w:t>
      </w:r>
      <w:bookmarkEnd w:id="24"/>
      <w:r/>
      <w:r>
        <w:rPr>
          <w:highlight w:val="none"/>
        </w:rPr>
      </w:r>
    </w:p>
    <w:tbl>
      <w:tblPr>
        <w:tblStyle w:val="938"/>
        <w:jc w:val="center"/>
        <w:tblInd w:w="0" w:type="dxa"/>
        <w:tblW w:w="14454" w:type="dxa"/>
        <w:tblCellMar>
          <w:left w:w="108" w:type="dxa"/>
          <w:top w:w="0" w:type="dxa"/>
          <w:right w:w="108" w:type="dxa"/>
          <w:bottom w:w="0" w:type="dxa"/>
        </w:tblCellMar>
        <w:tblBorders/>
        <w:tblLayout w:type="fixed"/>
        <w:tblLook w:val="04A0" w:firstRow="1" w:lastRow="0" w:firstColumn="1" w:lastColumn="0" w:noHBand="0" w:noVBand="1"/>
      </w:tblPr>
      <w:tblGrid>
        <w:gridCol w:w="562"/>
        <w:gridCol w:w="7370"/>
        <w:gridCol w:w="1418"/>
        <w:gridCol w:w="1809"/>
        <w:gridCol w:w="3295"/>
      </w:tblGrid>
      <w:tr>
        <w:trPr>
          <w:trHeight w:val="532"/>
        </w:trPr>
        <w:tc>
          <w:tcPr>
            <w:gridSpan w:val="5"/>
            <w:shd w:val="clear" w:color="ffffff" w:fill="ededed" w:themeFill="accent3" w:themeFillTint="33"/>
            <w:tcBorders/>
            <w:tcW w:w="14454" w:type="dxa"/>
            <w:vAlign w:val="center"/>
          </w:tcPr>
          <w:p w14:paraId="7B2EABE7">
            <w:pPr>
              <w:pStyle w:val="845"/>
              <w:widowControl w:val="true"/>
              <w:pBdr/>
              <w:spacing w:after="0" w:before="0" w:line="240" w:lineRule="auto"/>
              <w:ind/>
              <w:jc w:val="left"/>
              <w:rPr>
                <w:b/>
                <w:sz w:val="20"/>
              </w:rPr>
            </w:pPr>
            <w:r>
              <w:rPr>
                <w:rFonts w:eastAsia="Calibri" w:cs="Times New Roman"/>
                <w:b/>
                <w:sz w:val="20"/>
                <w:szCs w:val="20"/>
                <w:lang w:val="pl-PL" w:eastAsia="pl-PL" w:bidi="ar-SA"/>
              </w:rPr>
              <w:t xml:space="preserve">Cel ogólny:</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Poprawa jakości życia osób starszych</w:t>
            </w:r>
            <w:r>
              <w:rPr>
                <w:b/>
                <w:sz w:val="20"/>
              </w:rPr>
            </w:r>
            <w:r>
              <w:rPr>
                <w:b/>
                <w:sz w:val="20"/>
              </w:rPr>
            </w:r>
          </w:p>
        </w:tc>
      </w:tr>
      <w:tr>
        <w:trPr>
          <w:trHeight w:val="567"/>
        </w:trPr>
        <w:tc>
          <w:tcPr>
            <w:gridSpan w:val="5"/>
            <w:shd w:val="clear" w:color="ffffff" w:fill="ededed" w:themeFill="accent3" w:themeFillTint="33"/>
            <w:tcBorders/>
            <w:tcW w:w="14454" w:type="dxa"/>
            <w:vAlign w:val="center"/>
          </w:tcPr>
          <w:p w14:paraId="1451CD71">
            <w:pPr>
              <w:pStyle w:val="845"/>
              <w:widowControl w:val="true"/>
              <w:pBdr/>
              <w:spacing w:after="0" w:before="0" w:line="240" w:lineRule="auto"/>
              <w:ind/>
              <w:rPr>
                <w:b/>
                <w:sz w:val="20"/>
              </w:rPr>
            </w:pPr>
            <w:r>
              <w:rPr>
                <w:rFonts w:eastAsia="Calibri" w:cs="Times New Roman"/>
                <w:b/>
                <w:sz w:val="20"/>
                <w:szCs w:val="20"/>
                <w:lang w:val="pl-PL" w:eastAsia="pl-PL" w:bidi="ar-SA"/>
              </w:rPr>
              <w:t xml:space="preserve">Cel szczegółowy 1.</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Zwiększenie dostępu do różnych form opieki i wsparcia dla osób starszych wymagających wsparcia w codziennym funkcjonowaniu.</w:t>
            </w:r>
            <w:r>
              <w:rPr>
                <w:b/>
                <w:sz w:val="20"/>
              </w:rPr>
            </w:r>
            <w:r>
              <w:rPr>
                <w:b/>
                <w:sz w:val="20"/>
              </w:rPr>
            </w:r>
          </w:p>
        </w:tc>
      </w:tr>
      <w:tr>
        <w:trPr>
          <w:trHeight w:val="418"/>
        </w:trPr>
        <w:tc>
          <w:tcPr>
            <w:shd w:val="clear" w:color="ffffff" w:fill="ffffff" w:themeFill="background1"/>
            <w:tcBorders/>
            <w:tcW w:w="562" w:type="dxa"/>
            <w:vAlign w:val="center"/>
          </w:tcPr>
          <w:p w14:paraId="414DACFC">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Nr</w:t>
            </w:r>
            <w:r>
              <w:rPr>
                <w:b/>
                <w:sz w:val="20"/>
              </w:rPr>
            </w:r>
            <w:r>
              <w:rPr>
                <w:b/>
                <w:sz w:val="20"/>
              </w:rPr>
            </w:r>
          </w:p>
        </w:tc>
        <w:tc>
          <w:tcPr>
            <w:shd w:val="clear" w:color="ffffff" w:fill="ffffff" w:themeFill="background1"/>
            <w:tcBorders/>
            <w:tcW w:w="7370" w:type="dxa"/>
            <w:vAlign w:val="center"/>
          </w:tcPr>
          <w:p w14:paraId="71933A7B">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Działanie</w:t>
            </w:r>
            <w:r>
              <w:rPr>
                <w:b/>
                <w:sz w:val="20"/>
              </w:rPr>
            </w:r>
            <w:r>
              <w:rPr>
                <w:b/>
                <w:sz w:val="20"/>
              </w:rPr>
            </w:r>
          </w:p>
        </w:tc>
        <w:tc>
          <w:tcPr>
            <w:shd w:val="clear" w:color="ffffff" w:fill="ffffff" w:themeFill="background1"/>
            <w:tcBorders/>
            <w:tcW w:w="1418" w:type="dxa"/>
            <w:vAlign w:val="center"/>
          </w:tcPr>
          <w:p w14:paraId="02470763">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Okres realizacji</w:t>
            </w:r>
            <w:r>
              <w:rPr>
                <w:b/>
                <w:sz w:val="20"/>
              </w:rPr>
            </w:r>
            <w:r>
              <w:rPr>
                <w:b/>
                <w:sz w:val="20"/>
              </w:rPr>
            </w:r>
          </w:p>
        </w:tc>
        <w:tc>
          <w:tcPr>
            <w:shd w:val="clear" w:color="ffffff" w:fill="ffffff" w:themeFill="background1"/>
            <w:tcBorders/>
            <w:tcW w:w="1809" w:type="dxa"/>
            <w:vAlign w:val="center"/>
          </w:tcPr>
          <w:p w14:paraId="37D96132">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Podmioty odpowiedzialne</w:t>
            </w:r>
            <w:r>
              <w:rPr>
                <w:b/>
                <w:sz w:val="20"/>
              </w:rPr>
            </w:r>
            <w:r>
              <w:rPr>
                <w:b/>
                <w:sz w:val="20"/>
              </w:rPr>
            </w:r>
          </w:p>
        </w:tc>
        <w:tc>
          <w:tcPr>
            <w:shd w:val="clear" w:color="ffffff" w:fill="ffffff" w:themeFill="background1"/>
            <w:tcBorders/>
            <w:tcW w:w="3295" w:type="dxa"/>
            <w:vAlign w:val="center"/>
          </w:tcPr>
          <w:p w14:paraId="4DD4D1B3">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Źródło finansowania</w:t>
            </w:r>
            <w:r>
              <w:rPr>
                <w:b/>
                <w:sz w:val="20"/>
              </w:rPr>
            </w:r>
            <w:r>
              <w:rPr>
                <w:b/>
                <w:sz w:val="20"/>
              </w:rPr>
            </w:r>
          </w:p>
        </w:tc>
      </w:tr>
      <w:tr>
        <w:trPr>
          <w:trHeight w:val="805"/>
        </w:trPr>
        <w:tc>
          <w:tcPr>
            <w:shd w:val="clear" w:color="ffffff" w:fill="ffffff" w:themeFill="background1"/>
            <w:tcBorders/>
            <w:tcW w:w="562" w:type="dxa"/>
            <w:vAlign w:val="center"/>
          </w:tcPr>
          <w:p w14:paraId="5D47C46B">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1.</w:t>
            </w:r>
            <w:r>
              <w:rPr>
                <w:bCs/>
                <w:sz w:val="20"/>
              </w:rPr>
            </w:r>
            <w:r>
              <w:rPr>
                <w:bCs/>
                <w:sz w:val="20"/>
              </w:rPr>
            </w:r>
          </w:p>
        </w:tc>
        <w:tc>
          <w:tcPr>
            <w:shd w:val="clear" w:color="ffffff" w:fill="ffffff" w:themeFill="background1"/>
            <w:tcBorders/>
            <w:tcW w:w="7370" w:type="dxa"/>
            <w:vAlign w:val="center"/>
          </w:tcPr>
          <w:p w14:paraId="3EF0EBD3">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Zapewnienie dostępu do usług opiekuńczych oraz usług asystenta osoby z niepełnosprawnością i osoby starszej.</w:t>
            </w:r>
            <w:r>
              <w:rPr>
                <w:bCs/>
                <w:sz w:val="20"/>
              </w:rPr>
            </w:r>
            <w:r>
              <w:rPr>
                <w:bCs/>
                <w:sz w:val="20"/>
              </w:rPr>
            </w:r>
          </w:p>
        </w:tc>
        <w:tc>
          <w:tcPr>
            <w:shd w:val="clear" w:color="ffffff" w:fill="ffffff" w:themeFill="background1"/>
            <w:tcBorders/>
            <w:tcW w:w="1418" w:type="dxa"/>
            <w:vAlign w:val="center"/>
          </w:tcPr>
          <w:p w14:paraId="186089BE">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21A2AF9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50B87CB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94"/>
        </w:trPr>
        <w:tc>
          <w:tcPr>
            <w:shd w:val="clear" w:color="ffffff" w:fill="ffffff" w:themeFill="background1"/>
            <w:tcBorders/>
            <w:tcW w:w="562" w:type="dxa"/>
            <w:vAlign w:val="center"/>
          </w:tcPr>
          <w:p w14:paraId="1E24001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w:t>
            </w:r>
            <w:r>
              <w:rPr>
                <w:bCs/>
                <w:sz w:val="20"/>
              </w:rPr>
            </w:r>
            <w:r>
              <w:rPr>
                <w:bCs/>
                <w:sz w:val="20"/>
              </w:rPr>
            </w:r>
          </w:p>
        </w:tc>
        <w:tc>
          <w:tcPr>
            <w:shd w:val="clear" w:color="ffffff" w:fill="ffffff" w:themeFill="background1"/>
            <w:tcBorders/>
            <w:tcW w:w="7370" w:type="dxa"/>
            <w:vAlign w:val="center"/>
          </w:tcPr>
          <w:p w14:paraId="246A660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Realizacja wsparcia psychologicznego, poradnictwa specjalistycznego i grup wsparcia dla osób starszych, a także działań integrujących te osoby ze społecznością lokalną.</w:t>
            </w:r>
            <w:r>
              <w:rPr>
                <w:bCs/>
                <w:sz w:val="20"/>
              </w:rPr>
            </w:r>
            <w:r>
              <w:rPr>
                <w:bCs/>
                <w:sz w:val="20"/>
              </w:rPr>
            </w:r>
          </w:p>
        </w:tc>
        <w:tc>
          <w:tcPr>
            <w:shd w:val="clear" w:color="ffffff" w:fill="ffffff" w:themeFill="background1"/>
            <w:tcBorders/>
            <w:tcW w:w="1418" w:type="dxa"/>
            <w:vAlign w:val="center"/>
          </w:tcPr>
          <w:p w14:paraId="48671260">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2FC56AFC">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2FE73300">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94"/>
        </w:trPr>
        <w:tc>
          <w:tcPr>
            <w:shd w:val="clear" w:color="ffffff" w:fill="ffffff" w:themeFill="background1"/>
            <w:tcBorders/>
            <w:tcW w:w="562" w:type="dxa"/>
            <w:vAlign w:val="center"/>
          </w:tcPr>
          <w:p w14:paraId="391200AC">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3.</w:t>
            </w:r>
            <w:r>
              <w:rPr>
                <w:bCs/>
                <w:sz w:val="20"/>
              </w:rPr>
            </w:r>
            <w:r>
              <w:rPr>
                <w:bCs/>
                <w:sz w:val="20"/>
              </w:rPr>
            </w:r>
          </w:p>
        </w:tc>
        <w:tc>
          <w:tcPr>
            <w:shd w:val="clear" w:color="ffffff" w:fill="ffffff" w:themeFill="background1"/>
            <w:tcBorders/>
            <w:tcW w:w="7370" w:type="dxa"/>
            <w:vAlign w:val="center"/>
          </w:tcPr>
          <w:p w14:paraId="710F4378">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Realizacja usług transportowych dla osób o ograniczonej mobilności i doświadczających wykluczenia komunikacyjnego.</w:t>
            </w:r>
            <w:r>
              <w:rPr>
                <w:bCs/>
                <w:sz w:val="20"/>
              </w:rPr>
            </w:r>
            <w:r>
              <w:rPr>
                <w:bCs/>
                <w:sz w:val="20"/>
              </w:rPr>
            </w:r>
          </w:p>
        </w:tc>
        <w:tc>
          <w:tcPr>
            <w:shd w:val="clear" w:color="ffffff" w:fill="ffffff" w:themeFill="background1"/>
            <w:tcBorders/>
            <w:tcW w:w="1418" w:type="dxa"/>
            <w:vAlign w:val="center"/>
          </w:tcPr>
          <w:p w14:paraId="67DA5FD6">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1894E620">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569B8852">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94"/>
        </w:trPr>
        <w:tc>
          <w:tcPr>
            <w:shd w:val="clear" w:color="ffffff" w:fill="ffffff" w:themeFill="background1"/>
            <w:tcBorders/>
            <w:tcW w:w="562" w:type="dxa"/>
            <w:vAlign w:val="center"/>
          </w:tcPr>
          <w:p w14:paraId="7307FFE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4.</w:t>
            </w:r>
            <w:r>
              <w:rPr>
                <w:bCs/>
                <w:sz w:val="20"/>
              </w:rPr>
            </w:r>
            <w:r>
              <w:rPr>
                <w:bCs/>
                <w:sz w:val="20"/>
              </w:rPr>
            </w:r>
          </w:p>
        </w:tc>
        <w:tc>
          <w:tcPr>
            <w:shd w:val="clear" w:color="ffffff" w:fill="ffffff" w:themeFill="background1"/>
            <w:tcBorders/>
            <w:tcW w:w="7370" w:type="dxa"/>
            <w:vAlign w:val="center"/>
          </w:tcPr>
          <w:p w14:paraId="5160D4A8">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Funkcjonowanie i rozwój dziennych form pobytu dla osób starszych.</w:t>
            </w:r>
            <w:r>
              <w:rPr>
                <w:bCs/>
                <w:sz w:val="20"/>
              </w:rPr>
            </w:r>
            <w:r>
              <w:rPr>
                <w:bCs/>
                <w:sz w:val="20"/>
              </w:rPr>
            </w:r>
          </w:p>
        </w:tc>
        <w:tc>
          <w:tcPr>
            <w:shd w:val="clear" w:color="ffffff" w:fill="ffffff" w:themeFill="background1"/>
            <w:tcBorders/>
            <w:tcW w:w="1418" w:type="dxa"/>
            <w:vAlign w:val="center"/>
          </w:tcPr>
          <w:p w14:paraId="5884B27A">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40D81112">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ŚDS</w:t>
            </w:r>
            <w:r>
              <w:rPr>
                <w:bCs/>
                <w:sz w:val="20"/>
              </w:rPr>
            </w:r>
            <w:r>
              <w:rPr>
                <w:bCs/>
                <w:sz w:val="20"/>
              </w:rPr>
            </w:r>
          </w:p>
        </w:tc>
        <w:tc>
          <w:tcPr>
            <w:shd w:val="clear" w:color="ffffff" w:fill="ffffff" w:themeFill="background1"/>
            <w:tcBorders/>
            <w:tcW w:w="3295" w:type="dxa"/>
            <w:vAlign w:val="center"/>
          </w:tcPr>
          <w:p w14:paraId="3965AE0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94"/>
        </w:trPr>
        <w:tc>
          <w:tcPr>
            <w:shd w:val="clear" w:color="ffffff" w:fill="ffffff" w:themeFill="background1"/>
            <w:tcBorders/>
            <w:tcW w:w="562" w:type="dxa"/>
            <w:vAlign w:val="center"/>
          </w:tcPr>
          <w:p w14:paraId="20B317FA">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5.</w:t>
            </w:r>
            <w:r>
              <w:rPr>
                <w:bCs/>
                <w:sz w:val="20"/>
              </w:rPr>
            </w:r>
            <w:r>
              <w:rPr>
                <w:bCs/>
                <w:sz w:val="20"/>
              </w:rPr>
            </w:r>
          </w:p>
        </w:tc>
        <w:tc>
          <w:tcPr>
            <w:shd w:val="clear" w:color="ffffff" w:fill="ffffff" w:themeFill="background1"/>
            <w:tcBorders/>
            <w:tcW w:w="7370" w:type="dxa"/>
            <w:vAlign w:val="center"/>
          </w:tcPr>
          <w:p w14:paraId="2BE38CF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Podnoszenie kompetencji i kwalifikacji kandydatów oraz personelu w zakresie świadczenia usług w środowisku, poprzez m.in. udział w szkoleniach</w:t>
            </w:r>
            <w:r>
              <w:rPr>
                <w:bCs/>
                <w:sz w:val="20"/>
              </w:rPr>
            </w:r>
            <w:r>
              <w:rPr>
                <w:bCs/>
                <w:sz w:val="20"/>
              </w:rPr>
            </w:r>
          </w:p>
        </w:tc>
        <w:tc>
          <w:tcPr>
            <w:shd w:val="clear" w:color="ffffff" w:fill="ffffff" w:themeFill="background1"/>
            <w:tcBorders/>
            <w:tcW w:w="1418" w:type="dxa"/>
            <w:vAlign w:val="center"/>
          </w:tcPr>
          <w:p w14:paraId="75014B03">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355B300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ŚDS</w:t>
            </w:r>
            <w:r>
              <w:rPr>
                <w:bCs/>
                <w:sz w:val="20"/>
              </w:rPr>
            </w:r>
            <w:r>
              <w:rPr>
                <w:bCs/>
                <w:sz w:val="20"/>
              </w:rPr>
            </w:r>
          </w:p>
        </w:tc>
        <w:tc>
          <w:tcPr>
            <w:shd w:val="clear" w:color="ffffff" w:fill="ffffff" w:themeFill="background1"/>
            <w:tcBorders/>
            <w:tcW w:w="3295" w:type="dxa"/>
            <w:vAlign w:val="center"/>
          </w:tcPr>
          <w:p w14:paraId="5E9070FD">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595"/>
        </w:trPr>
        <w:tc>
          <w:tcPr>
            <w:gridSpan w:val="5"/>
            <w:shd w:val="clear" w:color="ffffff" w:fill="ededed" w:themeFill="accent3" w:themeFillTint="33"/>
            <w:tcBorders/>
            <w:tcW w:w="14454" w:type="dxa"/>
            <w:vAlign w:val="center"/>
          </w:tcPr>
          <w:p w14:paraId="5F2C51ED">
            <w:pPr>
              <w:pStyle w:val="845"/>
              <w:widowControl w:val="true"/>
              <w:pBdr/>
              <w:spacing w:after="0" w:before="0" w:line="240" w:lineRule="auto"/>
              <w:ind/>
              <w:jc w:val="left"/>
              <w:rPr>
                <w:b/>
                <w:sz w:val="20"/>
              </w:rPr>
            </w:pPr>
            <w:r/>
            <w:bookmarkStart w:id="25" w:name="_Hlk163148152"/>
            <w:r>
              <w:rPr>
                <w:rFonts w:eastAsia="Calibri" w:cs="Times New Roman"/>
                <w:b/>
                <w:sz w:val="20"/>
                <w:szCs w:val="20"/>
                <w:lang w:val="pl-PL" w:eastAsia="pl-PL" w:bidi="ar-SA"/>
              </w:rPr>
              <w:t xml:space="preserve">Cel szczegółowy 2.</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Zwiększenie dostępu do usług wsparcia dla rodzin i osób sprawujących funkcję opiekuna faktycznego osoby starszej.</w:t>
            </w:r>
            <w:r>
              <w:rPr>
                <w:b/>
                <w:sz w:val="20"/>
              </w:rPr>
            </w:r>
            <w:r>
              <w:rPr>
                <w:b/>
                <w:sz w:val="20"/>
              </w:rPr>
            </w:r>
          </w:p>
        </w:tc>
      </w:tr>
      <w:tr>
        <w:trPr>
          <w:trHeight w:val="425"/>
        </w:trPr>
        <w:tc>
          <w:tcPr>
            <w:shd w:val="clear" w:color="ffffff" w:fill="ffffff" w:themeFill="background1"/>
            <w:tcBorders/>
            <w:tcW w:w="562" w:type="dxa"/>
            <w:vAlign w:val="center"/>
          </w:tcPr>
          <w:p w14:paraId="601523C3">
            <w:pPr>
              <w:pStyle w:val="845"/>
              <w:widowControl w:val="true"/>
              <w:pBdr/>
              <w:spacing w:after="0" w:before="0" w:line="240" w:lineRule="auto"/>
              <w:ind/>
              <w:jc w:val="center"/>
              <w:rPr>
                <w:bCs/>
                <w:sz w:val="20"/>
              </w:rPr>
            </w:pPr>
            <w:r>
              <w:rPr>
                <w:rFonts w:eastAsia="Calibri" w:cs="Times New Roman"/>
                <w:b/>
                <w:sz w:val="20"/>
                <w:szCs w:val="20"/>
                <w:lang w:val="pl-PL" w:eastAsia="pl-PL" w:bidi="ar-SA"/>
              </w:rPr>
              <w:t xml:space="preserve">Nr</w:t>
            </w:r>
            <w:r>
              <w:rPr>
                <w:bCs/>
                <w:sz w:val="20"/>
              </w:rPr>
            </w:r>
            <w:r>
              <w:rPr>
                <w:bCs/>
                <w:sz w:val="20"/>
              </w:rPr>
            </w:r>
          </w:p>
        </w:tc>
        <w:tc>
          <w:tcPr>
            <w:shd w:val="clear" w:color="ffffff" w:fill="ffffff" w:themeFill="background1"/>
            <w:tcBorders/>
            <w:tcW w:w="7370" w:type="dxa"/>
            <w:vAlign w:val="center"/>
          </w:tcPr>
          <w:p w14:paraId="2FF012E7">
            <w:pPr>
              <w:pStyle w:val="845"/>
              <w:widowControl w:val="true"/>
              <w:pBdr/>
              <w:spacing w:after="0" w:before="0" w:line="240" w:lineRule="auto"/>
              <w:ind/>
              <w:jc w:val="center"/>
              <w:rPr>
                <w:bCs/>
                <w:sz w:val="20"/>
              </w:rPr>
            </w:pPr>
            <w:r>
              <w:rPr>
                <w:rFonts w:eastAsia="Calibri" w:cs="Times New Roman"/>
                <w:b/>
                <w:sz w:val="20"/>
                <w:szCs w:val="20"/>
                <w:lang w:val="pl-PL" w:eastAsia="pl-PL" w:bidi="ar-SA"/>
              </w:rPr>
              <w:t xml:space="preserve">Działanie</w:t>
            </w:r>
            <w:r>
              <w:rPr>
                <w:bCs/>
                <w:sz w:val="20"/>
              </w:rPr>
            </w:r>
            <w:r>
              <w:rPr>
                <w:bCs/>
                <w:sz w:val="20"/>
              </w:rPr>
            </w:r>
          </w:p>
        </w:tc>
        <w:tc>
          <w:tcPr>
            <w:shd w:val="clear" w:color="ffffff" w:fill="ffffff" w:themeFill="background1"/>
            <w:tcBorders/>
            <w:tcW w:w="1418" w:type="dxa"/>
            <w:vAlign w:val="center"/>
          </w:tcPr>
          <w:p w14:paraId="21BEC0C7">
            <w:pPr>
              <w:pStyle w:val="845"/>
              <w:widowControl w:val="true"/>
              <w:pBdr/>
              <w:spacing w:after="0" w:before="0" w:line="240" w:lineRule="auto"/>
              <w:ind/>
              <w:jc w:val="center"/>
              <w:rPr>
                <w:bCs/>
                <w:sz w:val="20"/>
              </w:rPr>
            </w:pPr>
            <w:r>
              <w:rPr>
                <w:rFonts w:eastAsia="Calibri" w:cs="Times New Roman"/>
                <w:b/>
                <w:sz w:val="20"/>
                <w:szCs w:val="20"/>
                <w:lang w:val="pl-PL" w:eastAsia="pl-PL" w:bidi="ar-SA"/>
              </w:rPr>
              <w:t xml:space="preserve">Okres realizacji</w:t>
            </w:r>
            <w:r>
              <w:rPr>
                <w:bCs/>
                <w:sz w:val="20"/>
              </w:rPr>
            </w:r>
            <w:r>
              <w:rPr>
                <w:bCs/>
                <w:sz w:val="20"/>
              </w:rPr>
            </w:r>
          </w:p>
        </w:tc>
        <w:tc>
          <w:tcPr>
            <w:shd w:val="clear" w:color="ffffff" w:fill="ffffff" w:themeFill="background1"/>
            <w:tcBorders/>
            <w:tcW w:w="1809" w:type="dxa"/>
            <w:vAlign w:val="center"/>
          </w:tcPr>
          <w:p w14:paraId="791EB526">
            <w:pPr>
              <w:pStyle w:val="845"/>
              <w:widowControl w:val="true"/>
              <w:pBdr/>
              <w:spacing w:after="0" w:before="0" w:line="240" w:lineRule="auto"/>
              <w:ind/>
              <w:jc w:val="center"/>
              <w:rPr>
                <w:bCs/>
                <w:sz w:val="20"/>
              </w:rPr>
            </w:pPr>
            <w:r>
              <w:rPr>
                <w:rFonts w:eastAsia="Calibri" w:cs="Times New Roman"/>
                <w:b/>
                <w:sz w:val="20"/>
                <w:szCs w:val="20"/>
                <w:lang w:val="pl-PL" w:eastAsia="pl-PL" w:bidi="ar-SA"/>
              </w:rPr>
              <w:t xml:space="preserve">Podmioty odpowiedzialne</w:t>
            </w:r>
            <w:r>
              <w:rPr>
                <w:bCs/>
                <w:sz w:val="20"/>
              </w:rPr>
            </w:r>
            <w:r>
              <w:rPr>
                <w:bCs/>
                <w:sz w:val="20"/>
              </w:rPr>
            </w:r>
          </w:p>
        </w:tc>
        <w:tc>
          <w:tcPr>
            <w:shd w:val="clear" w:color="ffffff" w:fill="ffffff" w:themeFill="background1"/>
            <w:tcBorders/>
            <w:tcW w:w="3295" w:type="dxa"/>
            <w:vAlign w:val="center"/>
          </w:tcPr>
          <w:p w14:paraId="73855DAC">
            <w:pPr>
              <w:pStyle w:val="845"/>
              <w:widowControl w:val="true"/>
              <w:pBdr/>
              <w:spacing w:after="0" w:before="0" w:line="240" w:lineRule="auto"/>
              <w:ind/>
              <w:jc w:val="center"/>
              <w:rPr>
                <w:bCs/>
                <w:sz w:val="20"/>
              </w:rPr>
            </w:pPr>
            <w:r>
              <w:rPr>
                <w:rFonts w:eastAsia="Calibri" w:cs="Times New Roman"/>
                <w:b/>
                <w:sz w:val="20"/>
                <w:szCs w:val="20"/>
                <w:lang w:val="pl-PL" w:eastAsia="pl-PL" w:bidi="ar-SA"/>
              </w:rPr>
              <w:t xml:space="preserve">Źródło finansowania</w:t>
            </w:r>
            <w:r>
              <w:rPr>
                <w:bCs/>
                <w:sz w:val="20"/>
              </w:rPr>
            </w:r>
            <w:r>
              <w:rPr>
                <w:bCs/>
                <w:sz w:val="20"/>
              </w:rPr>
            </w:r>
          </w:p>
        </w:tc>
      </w:tr>
      <w:tr>
        <w:trPr>
          <w:trHeight w:val="731"/>
        </w:trPr>
        <w:tc>
          <w:tcPr>
            <w:shd w:val="clear" w:color="ffffff" w:fill="ffffff" w:themeFill="background1"/>
            <w:tcBorders/>
            <w:tcW w:w="562" w:type="dxa"/>
            <w:vAlign w:val="center"/>
          </w:tcPr>
          <w:p w14:paraId="1B5CAA1E">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1.</w:t>
            </w:r>
            <w:r>
              <w:rPr>
                <w:bCs/>
                <w:sz w:val="20"/>
              </w:rPr>
            </w:r>
            <w:r>
              <w:rPr>
                <w:bCs/>
                <w:sz w:val="20"/>
              </w:rPr>
            </w:r>
          </w:p>
        </w:tc>
        <w:tc>
          <w:tcPr>
            <w:shd w:val="clear" w:color="ffffff" w:fill="ffffff" w:themeFill="background1"/>
            <w:tcBorders/>
            <w:tcW w:w="7370" w:type="dxa"/>
            <w:vAlign w:val="center"/>
          </w:tcPr>
          <w:p w14:paraId="74EA97CC">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Organizacja szkoleń dla opiekunów nieformalnych osób starszych, w tym m.in. w zakresie opieki i pielęgnacji oraz dietetyki (np. Szkoła dla opiekunów)</w:t>
            </w:r>
            <w:r>
              <w:rPr>
                <w:bCs/>
                <w:sz w:val="20"/>
              </w:rPr>
            </w:r>
            <w:r>
              <w:rPr>
                <w:bCs/>
                <w:sz w:val="20"/>
              </w:rPr>
            </w:r>
          </w:p>
        </w:tc>
        <w:tc>
          <w:tcPr>
            <w:shd w:val="clear" w:color="ffffff" w:fill="ffffff" w:themeFill="background1"/>
            <w:tcBorders/>
            <w:tcW w:w="1418" w:type="dxa"/>
            <w:vAlign w:val="center"/>
          </w:tcPr>
          <w:p w14:paraId="476FA78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12AD6239">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721B8CC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99"/>
        </w:trPr>
        <w:tc>
          <w:tcPr>
            <w:shd w:val="clear" w:color="ffffff" w:fill="ffffff" w:themeFill="background1"/>
            <w:tcBorders/>
            <w:tcW w:w="562" w:type="dxa"/>
            <w:vAlign w:val="center"/>
          </w:tcPr>
          <w:p w14:paraId="7965D384">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w:t>
            </w:r>
            <w:r>
              <w:rPr>
                <w:bCs/>
                <w:sz w:val="20"/>
              </w:rPr>
            </w:r>
            <w:r>
              <w:rPr>
                <w:bCs/>
                <w:sz w:val="20"/>
              </w:rPr>
            </w:r>
          </w:p>
        </w:tc>
        <w:tc>
          <w:tcPr>
            <w:shd w:val="clear" w:color="ffffff" w:fill="ffffff" w:themeFill="background1"/>
            <w:tcBorders/>
            <w:tcW w:w="7370" w:type="dxa"/>
            <w:vAlign w:val="center"/>
          </w:tcPr>
          <w:p w14:paraId="15029541">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Realizacja poradnictwa specjalistycznego, w tym psychologicznego, prawnego i rodzinnego, a także wsparcia informacyjnego.</w:t>
            </w:r>
            <w:r>
              <w:rPr>
                <w:bCs/>
                <w:sz w:val="20"/>
              </w:rPr>
            </w:r>
            <w:r>
              <w:rPr>
                <w:bCs/>
                <w:sz w:val="20"/>
              </w:rPr>
            </w:r>
          </w:p>
        </w:tc>
        <w:tc>
          <w:tcPr>
            <w:shd w:val="clear" w:color="ffffff" w:fill="ffffff" w:themeFill="background1"/>
            <w:tcBorders/>
            <w:tcW w:w="1418" w:type="dxa"/>
            <w:vAlign w:val="center"/>
          </w:tcPr>
          <w:p w14:paraId="7EC27C51">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21FD7011">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0DBF0C9F">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809"/>
        </w:trPr>
        <w:tc>
          <w:tcPr>
            <w:shd w:val="clear" w:color="ffffff" w:fill="ffffff" w:themeFill="background1"/>
            <w:tcBorders/>
            <w:tcW w:w="562" w:type="dxa"/>
            <w:vAlign w:val="center"/>
          </w:tcPr>
          <w:p w14:paraId="259DB84E">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3.</w:t>
            </w:r>
            <w:r>
              <w:rPr>
                <w:bCs/>
                <w:sz w:val="20"/>
              </w:rPr>
            </w:r>
            <w:r>
              <w:rPr>
                <w:bCs/>
                <w:sz w:val="20"/>
              </w:rPr>
            </w:r>
          </w:p>
        </w:tc>
        <w:tc>
          <w:tcPr>
            <w:shd w:val="clear" w:color="ffffff" w:fill="ffffff" w:themeFill="background1"/>
            <w:tcBorders/>
            <w:tcW w:w="7370" w:type="dxa"/>
            <w:vAlign w:val="center"/>
          </w:tcPr>
          <w:p w14:paraId="7890977A">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Zapewnianie opieki wytchnieniowej dla osób starszych wymagających wsparcia w codziennym funkcjonowaniu.</w:t>
            </w:r>
            <w:r>
              <w:rPr>
                <w:bCs/>
                <w:sz w:val="20"/>
              </w:rPr>
            </w:r>
            <w:r>
              <w:rPr>
                <w:bCs/>
                <w:sz w:val="20"/>
              </w:rPr>
            </w:r>
          </w:p>
        </w:tc>
        <w:tc>
          <w:tcPr>
            <w:shd w:val="clear" w:color="ffffff" w:fill="ffffff" w:themeFill="background1"/>
            <w:tcBorders/>
            <w:tcW w:w="1418" w:type="dxa"/>
            <w:vAlign w:val="center"/>
          </w:tcPr>
          <w:p w14:paraId="103DB9F0">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09" w:type="dxa"/>
            <w:vAlign w:val="center"/>
          </w:tcPr>
          <w:p w14:paraId="1572D5E8">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95" w:type="dxa"/>
            <w:vAlign w:val="center"/>
          </w:tcPr>
          <w:p w14:paraId="6B9B5649">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bookmarkEnd w:id="25"/>
            <w:r>
              <w:rPr>
                <w:bCs/>
                <w:sz w:val="20"/>
              </w:rPr>
            </w:r>
            <w:r>
              <w:rPr>
                <w:bCs/>
                <w:sz w:val="20"/>
              </w:rPr>
            </w:r>
          </w:p>
        </w:tc>
      </w:tr>
    </w:tbl>
    <w:p w14:paraId="7C55F39B">
      <w:pPr>
        <w:pStyle w:val="845"/>
        <w:pBdr/>
        <w:spacing/>
        <w:ind/>
        <w:jc w:val="left"/>
        <w:rPr>
          <w:rFonts w:ascii="Calibri Light" w:hAnsi="Calibri Light" w:eastAsia="Arial" w:cs="Arial" w:asciiTheme="majorHAnsi" w:hAnsiTheme="majorHAnsi" w:eastAsiaTheme="majorEastAsia" w:cstheme="majorBidi"/>
          <w:b/>
          <w:color w:val="2f5496" w:themeColor="accent1" w:themeShade="BF"/>
          <w:sz w:val="26"/>
          <w:szCs w:val="26"/>
        </w:rPr>
      </w:pPr>
      <w:r>
        <w:rPr>
          <w:rFonts w:ascii="Calibri Light" w:hAnsi="Calibri Light" w:eastAsia="Arial" w:cs="Arial" w:eastAsiaTheme="majorEastAsia" w:cstheme="majorBidi"/>
          <w:b/>
          <w:color w:val="2f5496" w:themeColor="accent1" w:themeShade="BF"/>
          <w:sz w:val="26"/>
          <w:szCs w:val="26"/>
        </w:rPr>
      </w:r>
      <w:r>
        <w:rPr>
          <w:rFonts w:ascii="Calibri Light" w:hAnsi="Calibri Light" w:eastAsia="Arial" w:cs="Arial" w:asciiTheme="majorHAnsi" w:hAnsiTheme="majorHAnsi" w:eastAsiaTheme="majorEastAsia" w:cstheme="majorBidi"/>
          <w:b/>
          <w:color w:val="2f5496" w:themeColor="accent1" w:themeShade="BF"/>
          <w:sz w:val="26"/>
          <w:szCs w:val="26"/>
        </w:rPr>
      </w:r>
      <w:r>
        <w:rPr>
          <w:rFonts w:ascii="Calibri Light" w:hAnsi="Calibri Light" w:eastAsia="Arial" w:cs="Arial" w:asciiTheme="majorHAnsi" w:hAnsiTheme="majorHAnsi" w:eastAsiaTheme="majorEastAsia" w:cstheme="majorBidi"/>
          <w:b/>
          <w:color w:val="2f5496" w:themeColor="accent1" w:themeShade="BF"/>
          <w:sz w:val="26"/>
          <w:szCs w:val="26"/>
        </w:rPr>
      </w:r>
    </w:p>
    <w:p w14:paraId="6B354BF9">
      <w:pPr>
        <w:pStyle w:val="847"/>
        <w:pBdr/>
        <w:spacing/>
        <w:ind/>
        <w:rPr/>
      </w:pPr>
      <w:r/>
      <w:bookmarkStart w:id="26" w:name="_Toc226230132"/>
      <w:r>
        <w:t xml:space="preserve">4.3. Osoby z niepełnosprawnościami</w:t>
      </w:r>
      <w:bookmarkEnd w:id="26"/>
      <w:r/>
      <w:r/>
    </w:p>
    <w:tbl>
      <w:tblPr>
        <w:tblStyle w:val="938"/>
        <w:jc w:val="center"/>
        <w:tblInd w:w="0" w:type="dxa"/>
        <w:tblW w:w="14438" w:type="dxa"/>
        <w:tblCellMar>
          <w:left w:w="108" w:type="dxa"/>
          <w:top w:w="0" w:type="dxa"/>
          <w:right w:w="108" w:type="dxa"/>
          <w:bottom w:w="0" w:type="dxa"/>
        </w:tblCellMar>
        <w:tblBorders/>
        <w:tblLayout w:type="fixed"/>
        <w:tblLook w:val="04A0" w:firstRow="1" w:lastRow="0" w:firstColumn="1" w:lastColumn="0" w:noHBand="0" w:noVBand="1"/>
      </w:tblPr>
      <w:tblGrid>
        <w:gridCol w:w="561"/>
        <w:gridCol w:w="7372"/>
        <w:gridCol w:w="1418"/>
        <w:gridCol w:w="1842"/>
        <w:gridCol w:w="3245"/>
      </w:tblGrid>
      <w:tr>
        <w:trPr>
          <w:trHeight w:val="539"/>
        </w:trPr>
        <w:tc>
          <w:tcPr>
            <w:gridSpan w:val="5"/>
            <w:shd w:val="clear" w:color="ffffff" w:fill="ededed" w:themeFill="accent3" w:themeFillTint="33"/>
            <w:tcBorders/>
            <w:tcW w:w="14438" w:type="dxa"/>
            <w:vAlign w:val="center"/>
          </w:tcPr>
          <w:p w14:paraId="6FEAC6D3">
            <w:pPr>
              <w:pStyle w:val="845"/>
              <w:widowControl w:val="true"/>
              <w:pBdr/>
              <w:spacing w:after="0" w:before="0" w:line="240" w:lineRule="auto"/>
              <w:ind/>
              <w:jc w:val="left"/>
              <w:rPr>
                <w:b/>
                <w:sz w:val="20"/>
                <w:szCs w:val="16"/>
              </w:rPr>
            </w:pPr>
            <w:r>
              <w:rPr>
                <w:rFonts w:eastAsia="Calibri" w:cs="Times New Roman"/>
                <w:b/>
                <w:sz w:val="20"/>
                <w:szCs w:val="16"/>
                <w:lang w:val="pl-PL" w:eastAsia="pl-PL" w:bidi="ar-SA"/>
              </w:rPr>
              <w:t xml:space="preserve">Cel ogólny: Włączenie społeczne osób z niepełnosprawnościami</w:t>
            </w:r>
            <w:r>
              <w:rPr>
                <w:b/>
                <w:sz w:val="20"/>
                <w:szCs w:val="16"/>
              </w:rPr>
            </w:r>
            <w:r>
              <w:rPr>
                <w:b/>
                <w:sz w:val="20"/>
                <w:szCs w:val="16"/>
              </w:rPr>
            </w:r>
          </w:p>
        </w:tc>
      </w:tr>
      <w:tr>
        <w:trPr>
          <w:trHeight w:val="548"/>
        </w:trPr>
        <w:tc>
          <w:tcPr>
            <w:gridSpan w:val="5"/>
            <w:shd w:val="clear" w:color="ffffff" w:fill="ededed" w:themeFill="accent3" w:themeFillTint="33"/>
            <w:tcBorders/>
            <w:tcW w:w="14438" w:type="dxa"/>
            <w:vAlign w:val="center"/>
          </w:tcPr>
          <w:p w14:paraId="1C8A6870">
            <w:pPr>
              <w:pStyle w:val="845"/>
              <w:widowControl w:val="true"/>
              <w:pBdr/>
              <w:spacing w:after="0" w:before="0" w:line="240" w:lineRule="auto"/>
              <w:ind/>
              <w:jc w:val="left"/>
              <w:rPr>
                <w:b/>
                <w:sz w:val="20"/>
                <w:szCs w:val="16"/>
              </w:rPr>
            </w:pPr>
            <w:r>
              <w:rPr>
                <w:rFonts w:eastAsia="Calibri" w:cs="Times New Roman"/>
                <w:b/>
                <w:sz w:val="20"/>
                <w:szCs w:val="16"/>
                <w:lang w:val="pl-PL" w:eastAsia="pl-PL" w:bidi="ar-SA"/>
              </w:rPr>
              <w:t xml:space="preserve">Cel szczegółowy 1. Zwiększenie dostępu do różnych form opieki, wsparcia i aktywności dla osób z niepełnosprawnościami.</w:t>
            </w:r>
            <w:r>
              <w:rPr>
                <w:b/>
                <w:sz w:val="20"/>
                <w:szCs w:val="16"/>
              </w:rPr>
            </w:r>
            <w:r>
              <w:rPr>
                <w:b/>
                <w:sz w:val="20"/>
                <w:szCs w:val="16"/>
              </w:rPr>
            </w:r>
          </w:p>
        </w:tc>
      </w:tr>
      <w:tr>
        <w:trPr>
          <w:trHeight w:val="570"/>
        </w:trPr>
        <w:tc>
          <w:tcPr>
            <w:shd w:val="clear" w:color="ffffff" w:fill="ffffff" w:themeFill="background1"/>
            <w:tcBorders/>
            <w:tcW w:w="561" w:type="dxa"/>
            <w:vAlign w:val="center"/>
          </w:tcPr>
          <w:p w14:paraId="79C441B6">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Nr</w:t>
            </w:r>
            <w:r>
              <w:rPr>
                <w:b/>
                <w:sz w:val="20"/>
                <w:szCs w:val="16"/>
              </w:rPr>
            </w:r>
            <w:r>
              <w:rPr>
                <w:b/>
                <w:sz w:val="20"/>
                <w:szCs w:val="16"/>
              </w:rPr>
            </w:r>
          </w:p>
        </w:tc>
        <w:tc>
          <w:tcPr>
            <w:shd w:val="clear" w:color="ffffff" w:fill="ffffff" w:themeFill="background1"/>
            <w:tcBorders/>
            <w:tcW w:w="7372" w:type="dxa"/>
            <w:vAlign w:val="center"/>
          </w:tcPr>
          <w:p w14:paraId="3376AA7A">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Działanie</w:t>
            </w:r>
            <w:r>
              <w:rPr>
                <w:b/>
                <w:sz w:val="20"/>
                <w:szCs w:val="16"/>
              </w:rPr>
            </w:r>
            <w:r>
              <w:rPr>
                <w:b/>
                <w:sz w:val="20"/>
                <w:szCs w:val="16"/>
              </w:rPr>
            </w:r>
          </w:p>
        </w:tc>
        <w:tc>
          <w:tcPr>
            <w:shd w:val="clear" w:color="ffffff" w:fill="ffffff" w:themeFill="background1"/>
            <w:tcBorders/>
            <w:tcW w:w="1418" w:type="dxa"/>
            <w:vAlign w:val="center"/>
          </w:tcPr>
          <w:p w14:paraId="11F884DA">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Okres realizacji</w:t>
            </w:r>
            <w:r>
              <w:rPr>
                <w:b/>
                <w:sz w:val="20"/>
                <w:szCs w:val="16"/>
              </w:rPr>
            </w:r>
            <w:r>
              <w:rPr>
                <w:b/>
                <w:sz w:val="20"/>
                <w:szCs w:val="16"/>
              </w:rPr>
            </w:r>
          </w:p>
        </w:tc>
        <w:tc>
          <w:tcPr>
            <w:shd w:val="clear" w:color="ffffff" w:fill="ffffff" w:themeFill="background1"/>
            <w:tcBorders/>
            <w:tcW w:w="1842" w:type="dxa"/>
            <w:vAlign w:val="center"/>
          </w:tcPr>
          <w:p w14:paraId="344CF830">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Podmioty odpowiedzialne</w:t>
            </w:r>
            <w:r>
              <w:rPr>
                <w:b/>
                <w:sz w:val="20"/>
                <w:szCs w:val="16"/>
              </w:rPr>
            </w:r>
            <w:r>
              <w:rPr>
                <w:b/>
                <w:sz w:val="20"/>
                <w:szCs w:val="16"/>
              </w:rPr>
            </w:r>
          </w:p>
        </w:tc>
        <w:tc>
          <w:tcPr>
            <w:shd w:val="clear" w:color="ffffff" w:fill="ffffff" w:themeFill="background1"/>
            <w:tcBorders/>
            <w:tcW w:w="3245" w:type="dxa"/>
            <w:vAlign w:val="center"/>
          </w:tcPr>
          <w:p w14:paraId="39AEF410">
            <w:pPr>
              <w:pStyle w:val="845"/>
              <w:widowControl w:val="true"/>
              <w:pBdr/>
              <w:spacing w:after="0" w:before="0" w:line="240" w:lineRule="auto"/>
              <w:ind/>
              <w:jc w:val="center"/>
              <w:rPr>
                <w:b/>
                <w:sz w:val="20"/>
                <w:szCs w:val="16"/>
              </w:rPr>
            </w:pPr>
            <w:r>
              <w:rPr>
                <w:rFonts w:eastAsia="Calibri" w:cs="Times New Roman"/>
                <w:b/>
                <w:sz w:val="20"/>
                <w:szCs w:val="16"/>
                <w:lang w:val="pl-PL" w:eastAsia="pl-PL" w:bidi="ar-SA"/>
              </w:rPr>
              <w:t xml:space="preserve">Źródło finansowania</w:t>
            </w:r>
            <w:r>
              <w:rPr>
                <w:b/>
                <w:sz w:val="20"/>
                <w:szCs w:val="16"/>
              </w:rPr>
            </w:r>
            <w:r>
              <w:rPr>
                <w:b/>
                <w:sz w:val="20"/>
                <w:szCs w:val="16"/>
              </w:rPr>
            </w:r>
          </w:p>
        </w:tc>
      </w:tr>
      <w:tr>
        <w:trPr>
          <w:trHeight w:val="691"/>
        </w:trPr>
        <w:tc>
          <w:tcPr>
            <w:shd w:val="clear" w:color="ffffff" w:fill="ffffff" w:themeFill="background1"/>
            <w:tcBorders/>
            <w:tcW w:w="561" w:type="dxa"/>
            <w:vAlign w:val="center"/>
          </w:tcPr>
          <w:p w14:paraId="6B189B31">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1.</w:t>
            </w:r>
            <w:r>
              <w:rPr>
                <w:bCs/>
              </w:rPr>
            </w:r>
            <w:r>
              <w:rPr>
                <w:bCs/>
              </w:rPr>
            </w:r>
          </w:p>
        </w:tc>
        <w:tc>
          <w:tcPr>
            <w:shd w:val="clear" w:color="ffffff" w:fill="ffffff" w:themeFill="background1"/>
            <w:tcBorders/>
            <w:tcW w:w="7372" w:type="dxa"/>
            <w:vAlign w:val="center"/>
          </w:tcPr>
          <w:p w14:paraId="6BCDEB32">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Zapewnienie dostępu do usług opiekuńczych i usług asystenta osoby z niepełnosprawnością.</w:t>
            </w:r>
            <w:r>
              <w:rPr>
                <w:bCs/>
              </w:rPr>
            </w:r>
            <w:r>
              <w:rPr>
                <w:bCs/>
              </w:rPr>
            </w:r>
          </w:p>
        </w:tc>
        <w:tc>
          <w:tcPr>
            <w:shd w:val="clear" w:color="ffffff" w:fill="ffffff" w:themeFill="background1"/>
            <w:tcBorders/>
            <w:tcW w:w="1418" w:type="dxa"/>
            <w:vAlign w:val="center"/>
          </w:tcPr>
          <w:p w14:paraId="4B025EA9">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2026-2030</w:t>
            </w:r>
            <w:r>
              <w:rPr>
                <w:bCs/>
              </w:rPr>
            </w:r>
            <w:r>
              <w:rPr>
                <w:bCs/>
              </w:rPr>
            </w:r>
          </w:p>
        </w:tc>
        <w:tc>
          <w:tcPr>
            <w:shd w:val="clear" w:color="ffffff" w:fill="ffffff" w:themeFill="background1"/>
            <w:tcBorders/>
            <w:tcW w:w="1842" w:type="dxa"/>
            <w:vAlign w:val="center"/>
          </w:tcPr>
          <w:p w14:paraId="185442C1">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GOPS w Braniewie</w:t>
            </w:r>
            <w:r>
              <w:rPr>
                <w:bCs/>
              </w:rPr>
            </w:r>
            <w:r>
              <w:rPr>
                <w:bCs/>
              </w:rPr>
            </w:r>
          </w:p>
        </w:tc>
        <w:tc>
          <w:tcPr>
            <w:shd w:val="clear" w:color="ffffff" w:fill="ffffff" w:themeFill="background1"/>
            <w:tcBorders/>
            <w:tcW w:w="3245" w:type="dxa"/>
            <w:vAlign w:val="center"/>
          </w:tcPr>
          <w:p w14:paraId="4DE84A81">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rPr>
            </w:r>
            <w:r>
              <w:rPr>
                <w:bCs/>
              </w:rPr>
            </w:r>
          </w:p>
        </w:tc>
      </w:tr>
      <w:tr>
        <w:trPr>
          <w:trHeight w:val="694"/>
        </w:trPr>
        <w:tc>
          <w:tcPr>
            <w:shd w:val="clear" w:color="ffffff" w:fill="ffffff" w:themeFill="background1"/>
            <w:tcBorders/>
            <w:tcW w:w="561" w:type="dxa"/>
            <w:vAlign w:val="center"/>
          </w:tcPr>
          <w:p w14:paraId="7E38591D">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w:t>
            </w:r>
            <w:r>
              <w:rPr>
                <w:bCs/>
                <w:sz w:val="20"/>
              </w:rPr>
            </w:r>
            <w:r>
              <w:rPr>
                <w:bCs/>
                <w:sz w:val="20"/>
              </w:rPr>
            </w:r>
          </w:p>
        </w:tc>
        <w:tc>
          <w:tcPr>
            <w:shd w:val="clear" w:color="ffffff" w:fill="ffffff" w:themeFill="background1"/>
            <w:tcBorders/>
            <w:tcW w:w="7372" w:type="dxa"/>
            <w:vAlign w:val="center"/>
          </w:tcPr>
          <w:p w14:paraId="3FA5FFDF">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Realizacja wsparcia psychologicznego i poradnictwa specjalistycznego na rzecz osób z niepełnosprawnością.</w:t>
            </w:r>
            <w:r>
              <w:rPr>
                <w:bCs/>
                <w:sz w:val="20"/>
              </w:rPr>
            </w:r>
            <w:r>
              <w:rPr>
                <w:bCs/>
                <w:sz w:val="20"/>
              </w:rPr>
            </w:r>
          </w:p>
        </w:tc>
        <w:tc>
          <w:tcPr>
            <w:shd w:val="clear" w:color="ffffff" w:fill="ffffff" w:themeFill="background1"/>
            <w:tcBorders/>
            <w:tcW w:w="1418" w:type="dxa"/>
            <w:vAlign w:val="center"/>
          </w:tcPr>
          <w:p w14:paraId="30AAA881">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42" w:type="dxa"/>
            <w:vAlign w:val="center"/>
          </w:tcPr>
          <w:p w14:paraId="5531418B">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w:t>
            </w:r>
            <w:r>
              <w:rPr>
                <w:bCs/>
                <w:sz w:val="20"/>
              </w:rPr>
            </w:r>
            <w:r>
              <w:rPr>
                <w:bCs/>
                <w:sz w:val="20"/>
              </w:rPr>
            </w:r>
          </w:p>
        </w:tc>
        <w:tc>
          <w:tcPr>
            <w:shd w:val="clear" w:color="ffffff" w:fill="ffffff" w:themeFill="background1"/>
            <w:tcBorders/>
            <w:tcW w:w="3245" w:type="dxa"/>
            <w:vAlign w:val="center"/>
          </w:tcPr>
          <w:p w14:paraId="1E4B9404">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662"/>
        </w:trPr>
        <w:tc>
          <w:tcPr>
            <w:shd w:val="clear" w:color="ffffff" w:fill="ffffff" w:themeFill="background1"/>
            <w:tcBorders/>
            <w:tcW w:w="561" w:type="dxa"/>
            <w:vAlign w:val="center"/>
          </w:tcPr>
          <w:p w14:paraId="0E0B266C">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3.</w:t>
            </w:r>
            <w:r>
              <w:rPr>
                <w:bCs/>
                <w:sz w:val="20"/>
              </w:rPr>
            </w:r>
            <w:r>
              <w:rPr>
                <w:bCs/>
                <w:sz w:val="20"/>
              </w:rPr>
            </w:r>
          </w:p>
        </w:tc>
        <w:tc>
          <w:tcPr>
            <w:shd w:val="clear" w:color="ffffff" w:fill="ffffff" w:themeFill="background1"/>
            <w:tcBorders/>
            <w:tcW w:w="7372" w:type="dxa"/>
            <w:vAlign w:val="center"/>
          </w:tcPr>
          <w:p w14:paraId="1152F309">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Zapewnianie miejsc w dziennych formach pobytu dla osób z niepełnosprawnością.</w:t>
            </w:r>
            <w:r>
              <w:rPr>
                <w:bCs/>
                <w:sz w:val="20"/>
              </w:rPr>
            </w:r>
            <w:r>
              <w:rPr>
                <w:bCs/>
                <w:sz w:val="20"/>
              </w:rPr>
            </w:r>
          </w:p>
        </w:tc>
        <w:tc>
          <w:tcPr>
            <w:shd w:val="clear" w:color="ffffff" w:fill="ffffff" w:themeFill="background1"/>
            <w:tcBorders/>
            <w:tcW w:w="1418" w:type="dxa"/>
            <w:vAlign w:val="center"/>
          </w:tcPr>
          <w:p w14:paraId="0392E206">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42" w:type="dxa"/>
            <w:vAlign w:val="center"/>
          </w:tcPr>
          <w:p w14:paraId="610D2D7E">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ŚDS</w:t>
            </w:r>
            <w:r>
              <w:rPr>
                <w:bCs/>
                <w:sz w:val="20"/>
              </w:rPr>
            </w:r>
            <w:r>
              <w:rPr>
                <w:bCs/>
                <w:sz w:val="20"/>
              </w:rPr>
            </w:r>
          </w:p>
        </w:tc>
        <w:tc>
          <w:tcPr>
            <w:shd w:val="clear" w:color="ffffff" w:fill="ffffff" w:themeFill="background1"/>
            <w:tcBorders/>
            <w:tcW w:w="3245" w:type="dxa"/>
            <w:vAlign w:val="center"/>
          </w:tcPr>
          <w:p w14:paraId="4B02738B">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772"/>
        </w:trPr>
        <w:tc>
          <w:tcPr>
            <w:shd w:val="clear" w:color="ffffff" w:fill="ffffff" w:themeFill="background1"/>
            <w:tcBorders/>
            <w:tcW w:w="561" w:type="dxa"/>
            <w:vAlign w:val="center"/>
          </w:tcPr>
          <w:p w14:paraId="3968148D">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4.</w:t>
            </w:r>
            <w:r>
              <w:rPr>
                <w:bCs/>
                <w:sz w:val="20"/>
              </w:rPr>
            </w:r>
            <w:r>
              <w:rPr>
                <w:bCs/>
                <w:sz w:val="20"/>
              </w:rPr>
            </w:r>
          </w:p>
        </w:tc>
        <w:tc>
          <w:tcPr>
            <w:shd w:val="clear" w:color="ffffff" w:fill="ffffff" w:themeFill="background1"/>
            <w:tcBorders/>
            <w:tcW w:w="7372" w:type="dxa"/>
            <w:vAlign w:val="center"/>
          </w:tcPr>
          <w:p w14:paraId="08009EDD">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Podnoszenie kompetencji i kwalifikacji kandydatów oraz personelu w zakresie świadczenia usług w środowisku, poprzez m.in. udział w szkoleniach</w:t>
            </w:r>
            <w:r>
              <w:rPr>
                <w:bCs/>
                <w:sz w:val="20"/>
              </w:rPr>
            </w:r>
            <w:r>
              <w:rPr>
                <w:bCs/>
                <w:sz w:val="20"/>
              </w:rPr>
            </w:r>
          </w:p>
        </w:tc>
        <w:tc>
          <w:tcPr>
            <w:shd w:val="clear" w:color="ffffff" w:fill="ffffff" w:themeFill="background1"/>
            <w:tcBorders/>
            <w:tcW w:w="1418" w:type="dxa"/>
            <w:vAlign w:val="center"/>
          </w:tcPr>
          <w:p w14:paraId="179E2C6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42" w:type="dxa"/>
            <w:vAlign w:val="center"/>
          </w:tcPr>
          <w:p w14:paraId="2411831B">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ŚDS</w:t>
            </w:r>
            <w:r>
              <w:rPr>
                <w:bCs/>
                <w:sz w:val="20"/>
              </w:rPr>
            </w:r>
            <w:r>
              <w:rPr>
                <w:bCs/>
                <w:sz w:val="20"/>
              </w:rPr>
            </w:r>
          </w:p>
        </w:tc>
        <w:tc>
          <w:tcPr>
            <w:shd w:val="clear" w:color="ffffff" w:fill="ffffff" w:themeFill="background1"/>
            <w:tcBorders/>
            <w:tcW w:w="3245" w:type="dxa"/>
            <w:vAlign w:val="center"/>
          </w:tcPr>
          <w:p w14:paraId="5C0BC38C">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492"/>
        </w:trPr>
        <w:tc>
          <w:tcPr>
            <w:gridSpan w:val="5"/>
            <w:shd w:val="clear" w:color="ffffff" w:fill="ededed" w:themeFill="accent3" w:themeFillTint="33"/>
            <w:tcBorders/>
            <w:tcW w:w="14438" w:type="dxa"/>
            <w:vAlign w:val="center"/>
          </w:tcPr>
          <w:p w14:paraId="126EC2C0">
            <w:pPr>
              <w:pStyle w:val="845"/>
              <w:widowControl w:val="true"/>
              <w:pBdr/>
              <w:spacing w:after="0" w:before="0" w:line="240" w:lineRule="auto"/>
              <w:ind/>
              <w:jc w:val="left"/>
              <w:rPr>
                <w:b/>
              </w:rPr>
            </w:pPr>
            <w:r>
              <w:rPr>
                <w:rFonts w:eastAsia="Calibri" w:cs="Times New Roman"/>
                <w:b/>
                <w:sz w:val="20"/>
                <w:szCs w:val="16"/>
                <w:lang w:val="pl-PL" w:eastAsia="pl-PL" w:bidi="ar-SA"/>
              </w:rPr>
              <w:t xml:space="preserve">Cel szczegółowy 2. Zwiększenie dostępu do usług wsparcia dla rodzin i osób sprawujących funkcję opiekuna faktycznego osoby z niepełnosprawnościami.</w:t>
            </w:r>
            <w:r>
              <w:rPr>
                <w:b/>
              </w:rPr>
            </w:r>
            <w:r>
              <w:rPr>
                <w:b/>
              </w:rPr>
            </w:r>
          </w:p>
        </w:tc>
      </w:tr>
      <w:tr>
        <w:trPr>
          <w:trHeight w:val="556"/>
        </w:trPr>
        <w:tc>
          <w:tcPr>
            <w:shd w:val="clear" w:color="ffffff" w:fill="ffffff" w:themeFill="background1"/>
            <w:tcBorders/>
            <w:tcW w:w="561" w:type="dxa"/>
            <w:vAlign w:val="center"/>
          </w:tcPr>
          <w:p w14:paraId="3DCD6805">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Nr</w:t>
            </w:r>
            <w:r>
              <w:rPr>
                <w:bCs/>
              </w:rPr>
            </w:r>
            <w:r>
              <w:rPr>
                <w:bCs/>
              </w:rPr>
            </w:r>
          </w:p>
        </w:tc>
        <w:tc>
          <w:tcPr>
            <w:shd w:val="clear" w:color="ffffff" w:fill="ffffff" w:themeFill="background1"/>
            <w:tcBorders/>
            <w:tcW w:w="7372" w:type="dxa"/>
            <w:vAlign w:val="center"/>
          </w:tcPr>
          <w:p w14:paraId="2C1646D9">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Działanie</w:t>
            </w:r>
            <w:r>
              <w:rPr>
                <w:bCs/>
              </w:rPr>
            </w:r>
            <w:r>
              <w:rPr>
                <w:bCs/>
              </w:rPr>
            </w:r>
          </w:p>
        </w:tc>
        <w:tc>
          <w:tcPr>
            <w:shd w:val="clear" w:color="ffffff" w:fill="ffffff" w:themeFill="background1"/>
            <w:tcBorders/>
            <w:tcW w:w="1418" w:type="dxa"/>
            <w:vAlign w:val="center"/>
          </w:tcPr>
          <w:p w14:paraId="25A319C8">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Okres realizacji</w:t>
            </w:r>
            <w:r>
              <w:rPr>
                <w:bCs/>
              </w:rPr>
            </w:r>
            <w:r>
              <w:rPr>
                <w:bCs/>
              </w:rPr>
            </w:r>
          </w:p>
        </w:tc>
        <w:tc>
          <w:tcPr>
            <w:shd w:val="clear" w:color="ffffff" w:fill="ffffff" w:themeFill="background1"/>
            <w:tcBorders/>
            <w:tcW w:w="1842" w:type="dxa"/>
            <w:vAlign w:val="center"/>
          </w:tcPr>
          <w:p w14:paraId="13DF5179">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Podmioty odpowiedzialne</w:t>
            </w:r>
            <w:r>
              <w:rPr>
                <w:bCs/>
              </w:rPr>
            </w:r>
            <w:r>
              <w:rPr>
                <w:bCs/>
              </w:rPr>
            </w:r>
          </w:p>
        </w:tc>
        <w:tc>
          <w:tcPr>
            <w:shd w:val="clear" w:color="ffffff" w:fill="ffffff" w:themeFill="background1"/>
            <w:tcBorders/>
            <w:tcW w:w="3245" w:type="dxa"/>
            <w:vAlign w:val="center"/>
          </w:tcPr>
          <w:p w14:paraId="2CAF41D4">
            <w:pPr>
              <w:pStyle w:val="845"/>
              <w:widowControl w:val="true"/>
              <w:pBdr/>
              <w:spacing w:after="0" w:before="0" w:line="240" w:lineRule="auto"/>
              <w:ind/>
              <w:jc w:val="center"/>
              <w:rPr>
                <w:bCs/>
              </w:rPr>
            </w:pPr>
            <w:r>
              <w:rPr>
                <w:rFonts w:eastAsia="Calibri" w:cs="Times New Roman"/>
                <w:b/>
                <w:sz w:val="20"/>
                <w:szCs w:val="16"/>
                <w:lang w:val="pl-PL" w:eastAsia="pl-PL" w:bidi="ar-SA"/>
              </w:rPr>
              <w:t xml:space="preserve">Źródło finansowania</w:t>
            </w:r>
            <w:r>
              <w:rPr>
                <w:bCs/>
              </w:rPr>
            </w:r>
            <w:r>
              <w:rPr>
                <w:bCs/>
              </w:rPr>
            </w:r>
          </w:p>
        </w:tc>
      </w:tr>
      <w:tr>
        <w:trPr>
          <w:trHeight w:val="635"/>
        </w:trPr>
        <w:tc>
          <w:tcPr>
            <w:shd w:val="clear" w:color="ffffff" w:fill="ffffff" w:themeFill="background1"/>
            <w:tcBorders/>
            <w:tcW w:w="561" w:type="dxa"/>
            <w:vAlign w:val="center"/>
          </w:tcPr>
          <w:p w14:paraId="44FAA34C">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1.</w:t>
            </w:r>
            <w:r>
              <w:rPr>
                <w:bCs/>
              </w:rPr>
            </w:r>
            <w:r>
              <w:rPr>
                <w:bCs/>
              </w:rPr>
            </w:r>
          </w:p>
        </w:tc>
        <w:tc>
          <w:tcPr>
            <w:shd w:val="clear" w:color="ffffff" w:fill="ffffff" w:themeFill="background1"/>
            <w:tcBorders/>
            <w:tcW w:w="7372" w:type="dxa"/>
            <w:vAlign w:val="center"/>
          </w:tcPr>
          <w:p w14:paraId="77EDB133">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Organizacja szkoleń dla opiekunów nieformalnych osób z niepełnosprawnościami, w tym m.in. w zakresie opieki i pielęgnacji, dietetyki.</w:t>
            </w:r>
            <w:r>
              <w:rPr>
                <w:bCs/>
              </w:rPr>
            </w:r>
            <w:r>
              <w:rPr>
                <w:bCs/>
              </w:rPr>
            </w:r>
          </w:p>
        </w:tc>
        <w:tc>
          <w:tcPr>
            <w:shd w:val="clear" w:color="ffffff" w:fill="ffffff" w:themeFill="background1"/>
            <w:tcBorders/>
            <w:tcW w:w="1418" w:type="dxa"/>
            <w:vAlign w:val="center"/>
          </w:tcPr>
          <w:p w14:paraId="1C40185C">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2026-2030</w:t>
            </w:r>
            <w:r>
              <w:rPr>
                <w:bCs/>
              </w:rPr>
            </w:r>
            <w:r>
              <w:rPr>
                <w:bCs/>
              </w:rPr>
            </w:r>
          </w:p>
        </w:tc>
        <w:tc>
          <w:tcPr>
            <w:shd w:val="clear" w:color="ffffff" w:fill="ffffff" w:themeFill="background1"/>
            <w:tcBorders/>
            <w:tcW w:w="1842" w:type="dxa"/>
            <w:vAlign w:val="center"/>
          </w:tcPr>
          <w:p w14:paraId="7288A590">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GOPS w Braniewie</w:t>
            </w:r>
            <w:r>
              <w:rPr>
                <w:bCs/>
              </w:rPr>
            </w:r>
            <w:r>
              <w:rPr>
                <w:bCs/>
              </w:rPr>
            </w:r>
          </w:p>
        </w:tc>
        <w:tc>
          <w:tcPr>
            <w:shd w:val="clear" w:color="ffffff" w:fill="ffffff" w:themeFill="background1"/>
            <w:tcBorders/>
            <w:tcW w:w="3245" w:type="dxa"/>
            <w:vAlign w:val="center"/>
          </w:tcPr>
          <w:p w14:paraId="295B1871">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rPr>
            </w:r>
            <w:r>
              <w:rPr>
                <w:bCs/>
              </w:rPr>
            </w:r>
          </w:p>
        </w:tc>
      </w:tr>
      <w:tr>
        <w:trPr>
          <w:trHeight w:val="558"/>
        </w:trPr>
        <w:tc>
          <w:tcPr>
            <w:shd w:val="clear" w:color="ffffff" w:fill="ffffff" w:themeFill="background1"/>
            <w:tcBorders/>
            <w:tcW w:w="561" w:type="dxa"/>
            <w:vAlign w:val="center"/>
          </w:tcPr>
          <w:p w14:paraId="5087C413">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2.</w:t>
            </w:r>
            <w:r>
              <w:rPr>
                <w:bCs/>
              </w:rPr>
            </w:r>
            <w:r>
              <w:rPr>
                <w:bCs/>
              </w:rPr>
            </w:r>
          </w:p>
        </w:tc>
        <w:tc>
          <w:tcPr>
            <w:shd w:val="clear" w:color="ffffff" w:fill="ffffff" w:themeFill="background1"/>
            <w:tcBorders/>
            <w:tcW w:w="7372" w:type="dxa"/>
            <w:vAlign w:val="center"/>
          </w:tcPr>
          <w:p w14:paraId="0EF42AC6">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Realizacja poradnictwa specjalistycznego, w tym psychologicznego, prawnego i rodzinnego, a także wsparcia informacyjnego.</w:t>
            </w:r>
            <w:r>
              <w:rPr>
                <w:bCs/>
              </w:rPr>
            </w:r>
            <w:r>
              <w:rPr>
                <w:bCs/>
              </w:rPr>
            </w:r>
          </w:p>
        </w:tc>
        <w:tc>
          <w:tcPr>
            <w:shd w:val="clear" w:color="ffffff" w:fill="ffffff" w:themeFill="background1"/>
            <w:tcBorders/>
            <w:tcW w:w="1418" w:type="dxa"/>
            <w:vAlign w:val="center"/>
          </w:tcPr>
          <w:p w14:paraId="0071E99C">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2026-2030</w:t>
            </w:r>
            <w:r>
              <w:rPr>
                <w:bCs/>
              </w:rPr>
            </w:r>
            <w:r>
              <w:rPr>
                <w:bCs/>
              </w:rPr>
            </w:r>
          </w:p>
        </w:tc>
        <w:tc>
          <w:tcPr>
            <w:shd w:val="clear" w:color="ffffff" w:fill="ffffff" w:themeFill="background1"/>
            <w:tcBorders/>
            <w:tcW w:w="1842" w:type="dxa"/>
            <w:vAlign w:val="center"/>
          </w:tcPr>
          <w:p w14:paraId="05069FAC">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GOPS w Braniewie</w:t>
            </w:r>
            <w:r>
              <w:rPr>
                <w:bCs/>
              </w:rPr>
            </w:r>
            <w:r>
              <w:rPr>
                <w:bCs/>
              </w:rPr>
            </w:r>
          </w:p>
        </w:tc>
        <w:tc>
          <w:tcPr>
            <w:shd w:val="clear" w:color="ffffff" w:fill="ffffff" w:themeFill="background1"/>
            <w:tcBorders/>
            <w:tcW w:w="3245" w:type="dxa"/>
            <w:vAlign w:val="center"/>
          </w:tcPr>
          <w:p w14:paraId="3394F1FF">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rPr>
            </w:r>
            <w:r>
              <w:rPr>
                <w:bCs/>
              </w:rPr>
            </w:r>
          </w:p>
        </w:tc>
      </w:tr>
      <w:tr>
        <w:trPr>
          <w:trHeight w:val="681"/>
        </w:trPr>
        <w:tc>
          <w:tcPr>
            <w:shd w:val="clear" w:color="ffffff" w:fill="ffffff" w:themeFill="background1"/>
            <w:tcBorders/>
            <w:tcW w:w="561" w:type="dxa"/>
            <w:vAlign w:val="center"/>
          </w:tcPr>
          <w:p w14:paraId="5BE2F7DA">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3.</w:t>
            </w:r>
            <w:r>
              <w:rPr>
                <w:bCs/>
              </w:rPr>
            </w:r>
            <w:r>
              <w:rPr>
                <w:bCs/>
              </w:rPr>
            </w:r>
          </w:p>
        </w:tc>
        <w:tc>
          <w:tcPr>
            <w:shd w:val="clear" w:color="ffffff" w:fill="ffffff" w:themeFill="background1"/>
            <w:tcBorders/>
            <w:tcW w:w="7372" w:type="dxa"/>
            <w:vAlign w:val="center"/>
          </w:tcPr>
          <w:p w14:paraId="33100106">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Zapewnianie opieki wytchnieniowej dla osób z niepełnosprawnościami wymagających wsparcia w codziennym funkcjonowaniu</w:t>
            </w:r>
            <w:r>
              <w:rPr>
                <w:bCs/>
              </w:rPr>
            </w:r>
            <w:r>
              <w:rPr>
                <w:bCs/>
              </w:rPr>
            </w:r>
          </w:p>
        </w:tc>
        <w:tc>
          <w:tcPr>
            <w:shd w:val="clear" w:color="ffffff" w:fill="ffffff" w:themeFill="background1"/>
            <w:tcBorders/>
            <w:tcW w:w="1418" w:type="dxa"/>
            <w:vAlign w:val="center"/>
          </w:tcPr>
          <w:p w14:paraId="3FF28881">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2026-2030</w:t>
            </w:r>
            <w:r>
              <w:rPr>
                <w:bCs/>
              </w:rPr>
            </w:r>
            <w:r>
              <w:rPr>
                <w:bCs/>
              </w:rPr>
            </w:r>
          </w:p>
        </w:tc>
        <w:tc>
          <w:tcPr>
            <w:shd w:val="clear" w:color="ffffff" w:fill="ffffff" w:themeFill="background1"/>
            <w:tcBorders/>
            <w:tcW w:w="1842" w:type="dxa"/>
            <w:vAlign w:val="center"/>
          </w:tcPr>
          <w:p w14:paraId="5244FE4A">
            <w:pPr>
              <w:pStyle w:val="845"/>
              <w:widowControl w:val="true"/>
              <w:pBdr/>
              <w:spacing w:after="0" w:before="0" w:line="240" w:lineRule="auto"/>
              <w:ind/>
              <w:jc w:val="center"/>
              <w:rPr>
                <w:bCs/>
              </w:rPr>
            </w:pPr>
            <w:r>
              <w:rPr>
                <w:rFonts w:eastAsia="Calibri" w:cs="Times New Roman"/>
                <w:bCs/>
                <w:sz w:val="20"/>
                <w:szCs w:val="20"/>
                <w:lang w:val="pl-PL" w:eastAsia="pl-PL" w:bidi="ar-SA"/>
              </w:rPr>
              <w:t xml:space="preserve">GOPS w Braniewie</w:t>
            </w:r>
            <w:r>
              <w:rPr>
                <w:bCs/>
              </w:rPr>
            </w:r>
            <w:r>
              <w:rPr>
                <w:bCs/>
              </w:rPr>
            </w:r>
          </w:p>
        </w:tc>
        <w:tc>
          <w:tcPr>
            <w:shd w:val="clear" w:color="ffffff" w:fill="ffffff" w:themeFill="background1"/>
            <w:tcBorders/>
            <w:tcW w:w="3245" w:type="dxa"/>
            <w:vAlign w:val="center"/>
          </w:tcPr>
          <w:p w14:paraId="0EDC8FF8">
            <w:pPr>
              <w:pStyle w:val="845"/>
              <w:widowControl w:val="true"/>
              <w:pBdr/>
              <w:spacing w:after="0" w:before="0" w:line="240" w:lineRule="auto"/>
              <w:ind/>
              <w:jc w:val="left"/>
              <w:rPr>
                <w:bCs/>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rPr>
            </w:r>
            <w:r>
              <w:rPr>
                <w:bCs/>
              </w:rPr>
            </w:r>
          </w:p>
        </w:tc>
      </w:tr>
    </w:tbl>
    <w:p w14:paraId="62243298">
      <w:pPr>
        <w:pStyle w:val="845"/>
        <w:pBdr/>
        <w:spacing/>
        <w:ind/>
        <w:jc w:val="left"/>
        <w:rPr>
          <w:rFonts w:ascii="Calibri Light" w:hAnsi="Calibri Light" w:eastAsia="Arial" w:cs="Arial" w:asciiTheme="majorHAnsi" w:hAnsiTheme="majorHAnsi" w:eastAsiaTheme="majorEastAsia" w:cstheme="majorBidi"/>
          <w:b/>
          <w:color w:val="2f5496" w:themeColor="accent1" w:themeShade="BF"/>
          <w:sz w:val="26"/>
          <w:szCs w:val="26"/>
        </w:rPr>
      </w:pPr>
      <w:r>
        <w:rPr>
          <w:rFonts w:ascii="Calibri Light" w:hAnsi="Calibri Light" w:eastAsia="Arial" w:cs="Arial" w:eastAsiaTheme="majorEastAsia" w:cstheme="majorBidi"/>
          <w:b/>
          <w:color w:val="2f5496" w:themeColor="accent1" w:themeShade="BF"/>
          <w:sz w:val="26"/>
          <w:szCs w:val="26"/>
        </w:rPr>
      </w:r>
      <w:r>
        <w:rPr>
          <w:rFonts w:ascii="Calibri Light" w:hAnsi="Calibri Light" w:eastAsia="Arial" w:cs="Arial" w:asciiTheme="majorHAnsi" w:hAnsiTheme="majorHAnsi" w:eastAsiaTheme="majorEastAsia" w:cstheme="majorBidi"/>
          <w:b/>
          <w:color w:val="2f5496" w:themeColor="accent1" w:themeShade="BF"/>
          <w:sz w:val="26"/>
          <w:szCs w:val="26"/>
        </w:rPr>
      </w:r>
      <w:r>
        <w:rPr>
          <w:rFonts w:ascii="Calibri Light" w:hAnsi="Calibri Light" w:eastAsia="Arial" w:cs="Arial" w:asciiTheme="majorHAnsi" w:hAnsiTheme="majorHAnsi" w:eastAsiaTheme="majorEastAsia" w:cstheme="majorBidi"/>
          <w:b/>
          <w:color w:val="2f5496" w:themeColor="accent1" w:themeShade="BF"/>
          <w:sz w:val="26"/>
          <w:szCs w:val="26"/>
        </w:rPr>
      </w:r>
    </w:p>
    <w:p w14:paraId="08012EC9">
      <w:pPr>
        <w:pStyle w:val="847"/>
        <w:pBdr/>
        <w:spacing/>
        <w:ind/>
        <w:rPr/>
      </w:pPr>
      <w:r/>
      <w:bookmarkStart w:id="27" w:name="_Toc226230133"/>
      <w:r>
        <w:t xml:space="preserve">4.4. Osoby z zaburzeniami psychicznymi oraz w kryzysie zdrowia psychicznego</w:t>
      </w:r>
      <w:bookmarkEnd w:id="27"/>
      <w:r/>
      <w:r/>
    </w:p>
    <w:tbl>
      <w:tblPr>
        <w:tblStyle w:val="938"/>
        <w:jc w:val="center"/>
        <w:tblInd w:w="0" w:type="dxa"/>
        <w:tblW w:w="14436" w:type="dxa"/>
        <w:tblCellMar>
          <w:left w:w="108" w:type="dxa"/>
          <w:top w:w="0" w:type="dxa"/>
          <w:right w:w="108" w:type="dxa"/>
          <w:bottom w:w="0" w:type="dxa"/>
        </w:tblCellMar>
        <w:tblBorders/>
        <w:tblLayout w:type="fixed"/>
        <w:tblLook w:val="04A0" w:firstRow="1" w:lastRow="0" w:firstColumn="1" w:lastColumn="0" w:noHBand="0" w:noVBand="1"/>
      </w:tblPr>
      <w:tblGrid>
        <w:gridCol w:w="561"/>
        <w:gridCol w:w="7231"/>
        <w:gridCol w:w="1416"/>
        <w:gridCol w:w="1985"/>
        <w:gridCol w:w="3243"/>
      </w:tblGrid>
      <w:tr>
        <w:trPr>
          <w:trHeight w:val="468"/>
        </w:trPr>
        <w:tc>
          <w:tcPr>
            <w:gridSpan w:val="5"/>
            <w:shd w:val="clear" w:color="ffffff" w:fill="ededed" w:themeFill="accent3" w:themeFillTint="33"/>
            <w:tcBorders/>
            <w:tcW w:w="14436" w:type="dxa"/>
            <w:vAlign w:val="center"/>
          </w:tcPr>
          <w:p w14:paraId="41F90746">
            <w:pPr>
              <w:pStyle w:val="845"/>
              <w:widowControl w:val="true"/>
              <w:pBdr/>
              <w:spacing w:after="120" w:before="0" w:line="240" w:lineRule="auto"/>
              <w:ind/>
              <w:jc w:val="left"/>
              <w:rPr>
                <w:b/>
                <w:sz w:val="20"/>
              </w:rPr>
            </w:pPr>
            <w:r>
              <w:rPr>
                <w:rFonts w:eastAsia="Calibri" w:cs="Times New Roman"/>
                <w:b/>
                <w:sz w:val="20"/>
                <w:szCs w:val="20"/>
                <w:lang w:val="pl-PL" w:eastAsia="pl-PL" w:bidi="ar-SA"/>
              </w:rPr>
              <w:t xml:space="preserve">Cel ogólny:</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Poprawa jakości życia osób z zaburzeniami psychicznymi oraz w kryzysie zdrowia psychicznego</w:t>
            </w:r>
            <w:r>
              <w:rPr>
                <w:b/>
                <w:sz w:val="20"/>
              </w:rPr>
            </w:r>
            <w:r>
              <w:rPr>
                <w:b/>
                <w:sz w:val="20"/>
              </w:rPr>
            </w:r>
          </w:p>
        </w:tc>
      </w:tr>
      <w:tr>
        <w:trPr>
          <w:trHeight w:val="418"/>
        </w:trPr>
        <w:tc>
          <w:tcPr>
            <w:gridSpan w:val="5"/>
            <w:shd w:val="clear" w:color="ffffff" w:fill="ededed" w:themeFill="accent3" w:themeFillTint="33"/>
            <w:tcBorders/>
            <w:tcW w:w="14436" w:type="dxa"/>
            <w:vAlign w:val="center"/>
          </w:tcPr>
          <w:p w14:paraId="78923F77">
            <w:pPr>
              <w:pStyle w:val="845"/>
              <w:widowControl w:val="true"/>
              <w:pBdr/>
              <w:spacing w:after="120" w:before="0" w:line="240" w:lineRule="auto"/>
              <w:ind/>
              <w:jc w:val="left"/>
              <w:rPr>
                <w:b/>
                <w:sz w:val="20"/>
              </w:rPr>
            </w:pPr>
            <w:r>
              <w:rPr>
                <w:rFonts w:eastAsia="Calibri" w:cs="Times New Roman"/>
                <w:b/>
                <w:sz w:val="20"/>
                <w:szCs w:val="20"/>
                <w:lang w:val="pl-PL" w:eastAsia="pl-PL" w:bidi="ar-SA"/>
              </w:rPr>
              <w:t xml:space="preserve">Cel szczegółowy 1.</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Zwiększenie dostępu do różnych form opieki i wsparcia dla z zaburzeniami psychicznymi oraz w kryzysie zdrowia psychicznego</w:t>
            </w:r>
            <w:r>
              <w:rPr>
                <w:b/>
                <w:sz w:val="20"/>
              </w:rPr>
            </w:r>
            <w:r>
              <w:rPr>
                <w:b/>
                <w:sz w:val="20"/>
              </w:rPr>
            </w:r>
          </w:p>
        </w:tc>
      </w:tr>
      <w:tr>
        <w:trPr>
          <w:trHeight w:val="412"/>
        </w:trPr>
        <w:tc>
          <w:tcPr>
            <w:shd w:val="clear" w:color="ffffff" w:fill="ffffff" w:themeFill="background1"/>
            <w:tcBorders/>
            <w:tcW w:w="561" w:type="dxa"/>
            <w:vAlign w:val="center"/>
          </w:tcPr>
          <w:p w14:paraId="4E15A832">
            <w:pPr>
              <w:pStyle w:val="845"/>
              <w:widowControl w:val="true"/>
              <w:pBdr/>
              <w:spacing w:after="120" w:before="0" w:line="240" w:lineRule="auto"/>
              <w:ind/>
              <w:jc w:val="center"/>
              <w:rPr>
                <w:b/>
                <w:sz w:val="20"/>
              </w:rPr>
            </w:pPr>
            <w:r>
              <w:rPr>
                <w:rFonts w:eastAsia="Calibri" w:cs="Times New Roman"/>
                <w:b/>
                <w:sz w:val="20"/>
                <w:szCs w:val="20"/>
                <w:lang w:val="pl-PL" w:eastAsia="pl-PL" w:bidi="ar-SA"/>
              </w:rPr>
              <w:t xml:space="preserve">Nr</w:t>
            </w:r>
            <w:r>
              <w:rPr>
                <w:b/>
                <w:sz w:val="20"/>
              </w:rPr>
            </w:r>
            <w:r>
              <w:rPr>
                <w:b/>
                <w:sz w:val="20"/>
              </w:rPr>
            </w:r>
          </w:p>
        </w:tc>
        <w:tc>
          <w:tcPr>
            <w:shd w:val="clear" w:color="ffffff" w:fill="ffffff" w:themeFill="background1"/>
            <w:tcBorders/>
            <w:tcW w:w="7231" w:type="dxa"/>
            <w:vAlign w:val="center"/>
          </w:tcPr>
          <w:p w14:paraId="5CD21E72">
            <w:pPr>
              <w:pStyle w:val="845"/>
              <w:widowControl w:val="true"/>
              <w:pBdr/>
              <w:spacing w:after="120" w:before="0" w:line="240" w:lineRule="auto"/>
              <w:ind/>
              <w:jc w:val="center"/>
              <w:rPr>
                <w:b/>
                <w:sz w:val="20"/>
              </w:rPr>
            </w:pPr>
            <w:r>
              <w:rPr>
                <w:rFonts w:eastAsia="Calibri" w:cs="Times New Roman"/>
                <w:b/>
                <w:sz w:val="20"/>
                <w:szCs w:val="20"/>
                <w:lang w:val="pl-PL" w:eastAsia="pl-PL" w:bidi="ar-SA"/>
              </w:rPr>
              <w:t xml:space="preserve">Działanie</w:t>
            </w:r>
            <w:r>
              <w:rPr>
                <w:b/>
                <w:sz w:val="20"/>
              </w:rPr>
            </w:r>
            <w:r>
              <w:rPr>
                <w:b/>
                <w:sz w:val="20"/>
              </w:rPr>
            </w:r>
          </w:p>
        </w:tc>
        <w:tc>
          <w:tcPr>
            <w:shd w:val="clear" w:color="ffffff" w:fill="ffffff" w:themeFill="background1"/>
            <w:tcBorders/>
            <w:tcW w:w="1416" w:type="dxa"/>
            <w:vAlign w:val="center"/>
          </w:tcPr>
          <w:p w14:paraId="724A94F2">
            <w:pPr>
              <w:pStyle w:val="845"/>
              <w:widowControl w:val="true"/>
              <w:pBdr/>
              <w:spacing w:after="120" w:before="0" w:line="240" w:lineRule="auto"/>
              <w:ind/>
              <w:jc w:val="center"/>
              <w:rPr>
                <w:b/>
                <w:sz w:val="20"/>
              </w:rPr>
            </w:pPr>
            <w:r>
              <w:rPr>
                <w:rFonts w:eastAsia="Calibri" w:cs="Times New Roman"/>
                <w:b/>
                <w:sz w:val="20"/>
                <w:szCs w:val="20"/>
                <w:lang w:val="pl-PL" w:eastAsia="pl-PL" w:bidi="ar-SA"/>
              </w:rPr>
              <w:t xml:space="preserve">Okres realizacji</w:t>
            </w:r>
            <w:r>
              <w:rPr>
                <w:b/>
                <w:sz w:val="20"/>
              </w:rPr>
            </w:r>
            <w:r>
              <w:rPr>
                <w:b/>
                <w:sz w:val="20"/>
              </w:rPr>
            </w:r>
          </w:p>
        </w:tc>
        <w:tc>
          <w:tcPr>
            <w:shd w:val="clear" w:color="ffffff" w:fill="ffffff" w:themeFill="background1"/>
            <w:tcBorders/>
            <w:tcW w:w="1985" w:type="dxa"/>
            <w:vAlign w:val="center"/>
          </w:tcPr>
          <w:p w14:paraId="31F5B2A0">
            <w:pPr>
              <w:pStyle w:val="845"/>
              <w:widowControl w:val="true"/>
              <w:pBdr/>
              <w:spacing w:after="120" w:before="0" w:line="240" w:lineRule="auto"/>
              <w:ind/>
              <w:jc w:val="center"/>
              <w:rPr>
                <w:b/>
                <w:sz w:val="20"/>
              </w:rPr>
            </w:pPr>
            <w:r>
              <w:rPr>
                <w:rFonts w:eastAsia="Calibri" w:cs="Times New Roman"/>
                <w:b/>
                <w:sz w:val="20"/>
                <w:szCs w:val="20"/>
                <w:lang w:val="pl-PL" w:eastAsia="pl-PL" w:bidi="ar-SA"/>
              </w:rPr>
              <w:t xml:space="preserve">Podmioty odpowiedzialne</w:t>
            </w:r>
            <w:r>
              <w:rPr>
                <w:b/>
                <w:sz w:val="20"/>
              </w:rPr>
            </w:r>
            <w:r>
              <w:rPr>
                <w:b/>
                <w:sz w:val="20"/>
              </w:rPr>
            </w:r>
          </w:p>
        </w:tc>
        <w:tc>
          <w:tcPr>
            <w:shd w:val="clear" w:color="ffffff" w:fill="ffffff" w:themeFill="background1"/>
            <w:tcBorders/>
            <w:tcW w:w="3243" w:type="dxa"/>
            <w:vAlign w:val="center"/>
          </w:tcPr>
          <w:p w14:paraId="2799E5A1">
            <w:pPr>
              <w:pStyle w:val="845"/>
              <w:widowControl w:val="true"/>
              <w:pBdr/>
              <w:spacing w:after="120" w:before="0" w:line="240" w:lineRule="auto"/>
              <w:ind/>
              <w:jc w:val="center"/>
              <w:rPr>
                <w:b/>
                <w:sz w:val="20"/>
              </w:rPr>
            </w:pPr>
            <w:r>
              <w:rPr>
                <w:rFonts w:eastAsia="Calibri" w:cs="Times New Roman"/>
                <w:b/>
                <w:sz w:val="20"/>
                <w:szCs w:val="20"/>
                <w:lang w:val="pl-PL" w:eastAsia="pl-PL" w:bidi="ar-SA"/>
              </w:rPr>
              <w:t xml:space="preserve">Źródło finansowania</w:t>
            </w:r>
            <w:r>
              <w:rPr>
                <w:b/>
                <w:sz w:val="20"/>
              </w:rPr>
            </w:r>
            <w:r>
              <w:rPr>
                <w:b/>
                <w:sz w:val="20"/>
              </w:rPr>
            </w:r>
          </w:p>
        </w:tc>
      </w:tr>
      <w:tr>
        <w:trPr>
          <w:trHeight w:val="647"/>
        </w:trPr>
        <w:tc>
          <w:tcPr>
            <w:shd w:val="clear" w:color="ffffff" w:fill="ffffff" w:themeFill="background1"/>
            <w:tcBorders/>
            <w:tcW w:w="561" w:type="dxa"/>
            <w:vAlign w:val="center"/>
          </w:tcPr>
          <w:p w14:paraId="7DEFE434">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1.</w:t>
            </w:r>
            <w:r>
              <w:rPr>
                <w:bCs/>
                <w:sz w:val="20"/>
              </w:rPr>
            </w:r>
            <w:r>
              <w:rPr>
                <w:bCs/>
                <w:sz w:val="20"/>
              </w:rPr>
            </w:r>
          </w:p>
        </w:tc>
        <w:tc>
          <w:tcPr>
            <w:shd w:val="clear" w:color="ffffff" w:fill="ffffff" w:themeFill="background1"/>
            <w:tcBorders/>
            <w:tcW w:w="7231" w:type="dxa"/>
            <w:vAlign w:val="center"/>
          </w:tcPr>
          <w:p w14:paraId="3AB60996">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Realizacja usług społecznych dla osób z zaburzeniami psychicznymi oraz osób w kryzysie psychicznym w miejscu zamieszkania, w tym m.in. usług asystenckich.</w:t>
            </w:r>
            <w:r>
              <w:rPr>
                <w:bCs/>
                <w:sz w:val="20"/>
              </w:rPr>
            </w:r>
            <w:r>
              <w:rPr>
                <w:bCs/>
                <w:sz w:val="20"/>
              </w:rPr>
            </w:r>
          </w:p>
        </w:tc>
        <w:tc>
          <w:tcPr>
            <w:shd w:val="clear" w:color="ffffff" w:fill="ffffff" w:themeFill="background1"/>
            <w:tcBorders/>
            <w:tcW w:w="1416" w:type="dxa"/>
            <w:vAlign w:val="center"/>
          </w:tcPr>
          <w:p w14:paraId="78DA1895">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985" w:type="dxa"/>
            <w:vAlign w:val="center"/>
          </w:tcPr>
          <w:p w14:paraId="66BFA6B5">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43" w:type="dxa"/>
            <w:vAlign w:val="center"/>
          </w:tcPr>
          <w:p w14:paraId="6F1ED22C">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815"/>
        </w:trPr>
        <w:tc>
          <w:tcPr>
            <w:shd w:val="clear" w:color="ffffff" w:fill="ffffff" w:themeFill="background1"/>
            <w:tcBorders/>
            <w:tcW w:w="561" w:type="dxa"/>
            <w:vAlign w:val="center"/>
          </w:tcPr>
          <w:p w14:paraId="0F70301F">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w:t>
            </w:r>
            <w:r>
              <w:rPr>
                <w:bCs/>
                <w:sz w:val="20"/>
              </w:rPr>
            </w:r>
            <w:r>
              <w:rPr>
                <w:bCs/>
                <w:sz w:val="20"/>
              </w:rPr>
            </w:r>
          </w:p>
        </w:tc>
        <w:tc>
          <w:tcPr>
            <w:shd w:val="clear" w:color="ffffff" w:fill="ffffff" w:themeFill="background1"/>
            <w:tcBorders/>
            <w:tcW w:w="7231" w:type="dxa"/>
            <w:vAlign w:val="center"/>
          </w:tcPr>
          <w:p w14:paraId="224D9B75">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Zapewnianie miejsc w dziennych formach pobytu i wsparcia dla osób z zaburzeniami psychicznymi.</w:t>
            </w:r>
            <w:r>
              <w:rPr>
                <w:bCs/>
                <w:sz w:val="20"/>
              </w:rPr>
            </w:r>
            <w:r>
              <w:rPr>
                <w:bCs/>
                <w:sz w:val="20"/>
              </w:rPr>
            </w:r>
          </w:p>
        </w:tc>
        <w:tc>
          <w:tcPr>
            <w:shd w:val="clear" w:color="ffffff" w:fill="ffffff" w:themeFill="background1"/>
            <w:tcBorders/>
            <w:tcW w:w="1416" w:type="dxa"/>
            <w:vAlign w:val="center"/>
          </w:tcPr>
          <w:p w14:paraId="3E67841B">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985" w:type="dxa"/>
            <w:vAlign w:val="center"/>
          </w:tcPr>
          <w:p w14:paraId="05E713D8">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ŚDS</w:t>
            </w:r>
            <w:r>
              <w:rPr>
                <w:bCs/>
                <w:sz w:val="20"/>
              </w:rPr>
            </w:r>
            <w:r>
              <w:rPr>
                <w:bCs/>
                <w:sz w:val="20"/>
              </w:rPr>
            </w:r>
          </w:p>
        </w:tc>
        <w:tc>
          <w:tcPr>
            <w:shd w:val="clear" w:color="ffffff" w:fill="ffffff" w:themeFill="background1"/>
            <w:tcBorders/>
            <w:tcW w:w="3243" w:type="dxa"/>
            <w:vAlign w:val="center"/>
          </w:tcPr>
          <w:p w14:paraId="301C62B2">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836"/>
        </w:trPr>
        <w:tc>
          <w:tcPr>
            <w:shd w:val="clear" w:color="ffffff" w:fill="ffffff" w:themeFill="background1"/>
            <w:tcBorders/>
            <w:tcW w:w="561" w:type="dxa"/>
            <w:vAlign w:val="center"/>
          </w:tcPr>
          <w:p w14:paraId="7A0366B4">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3.</w:t>
            </w:r>
            <w:r>
              <w:rPr>
                <w:bCs/>
                <w:sz w:val="20"/>
              </w:rPr>
            </w:r>
            <w:r>
              <w:rPr>
                <w:bCs/>
                <w:sz w:val="20"/>
              </w:rPr>
            </w:r>
          </w:p>
        </w:tc>
        <w:tc>
          <w:tcPr>
            <w:shd w:val="clear" w:color="ffffff" w:fill="ffffff" w:themeFill="background1"/>
            <w:tcBorders/>
            <w:tcW w:w="7231" w:type="dxa"/>
            <w:vAlign w:val="center"/>
          </w:tcPr>
          <w:p w14:paraId="0858BAC5">
            <w:pPr>
              <w:pStyle w:val="845"/>
              <w:widowControl w:val="true"/>
              <w:pBdr/>
              <w:spacing w:after="0" w:before="0" w:line="240" w:lineRule="auto"/>
              <w:ind/>
              <w:jc w:val="left"/>
              <w:rPr>
                <w:bCs/>
                <w:sz w:val="20"/>
              </w:rPr>
            </w:pPr>
            <w:r>
              <w:rPr>
                <w:rFonts w:eastAsia="Calibri" w:cs="Times New Roman"/>
                <w:sz w:val="20"/>
                <w:szCs w:val="20"/>
                <w:lang w:val="pl-PL" w:eastAsia="pl-PL" w:bidi="ar-SA"/>
              </w:rPr>
              <w:t xml:space="preserve">Działania w zakresie profilaktyki uzależnień, w tym przeciwdziałanie uzależnieniom behawioralnym, od alkoholu i innych substancji psychoaktywnych oraz działania na rzecz rozwiązywania problemów uzależnień w środowisku lokalnym.</w:t>
            </w:r>
            <w:r>
              <w:rPr>
                <w:bCs/>
                <w:sz w:val="20"/>
              </w:rPr>
            </w:r>
            <w:r>
              <w:rPr>
                <w:bCs/>
                <w:sz w:val="20"/>
              </w:rPr>
            </w:r>
          </w:p>
        </w:tc>
        <w:tc>
          <w:tcPr>
            <w:shd w:val="clear" w:color="ffffff" w:fill="ffffff" w:themeFill="background1"/>
            <w:tcBorders/>
            <w:tcW w:w="1416" w:type="dxa"/>
            <w:vAlign w:val="center"/>
          </w:tcPr>
          <w:p w14:paraId="2A606621">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985" w:type="dxa"/>
            <w:vAlign w:val="center"/>
          </w:tcPr>
          <w:p w14:paraId="6D635114">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SP, GKRPA</w:t>
            </w:r>
            <w:r>
              <w:rPr>
                <w:bCs/>
                <w:sz w:val="20"/>
              </w:rPr>
            </w:r>
            <w:r>
              <w:rPr>
                <w:bCs/>
                <w:sz w:val="20"/>
              </w:rPr>
            </w:r>
          </w:p>
        </w:tc>
        <w:tc>
          <w:tcPr>
            <w:shd w:val="clear" w:color="ffffff" w:fill="ffffff" w:themeFill="background1"/>
            <w:tcBorders/>
            <w:tcW w:w="3243" w:type="dxa"/>
            <w:vAlign w:val="center"/>
          </w:tcPr>
          <w:p w14:paraId="34B606D2">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425"/>
        </w:trPr>
        <w:tc>
          <w:tcPr>
            <w:shd w:val="clear" w:color="ffffff" w:fill="ffffff" w:themeFill="background1"/>
            <w:tcBorders/>
            <w:tcW w:w="561" w:type="dxa"/>
            <w:vAlign w:val="center"/>
          </w:tcPr>
          <w:p w14:paraId="479EC462">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4.</w:t>
            </w:r>
            <w:r>
              <w:rPr>
                <w:bCs/>
                <w:sz w:val="20"/>
              </w:rPr>
            </w:r>
            <w:r>
              <w:rPr>
                <w:bCs/>
                <w:sz w:val="20"/>
              </w:rPr>
            </w:r>
          </w:p>
        </w:tc>
        <w:tc>
          <w:tcPr>
            <w:shd w:val="clear" w:color="ffffff" w:fill="ffffff" w:themeFill="background1"/>
            <w:tcBorders/>
            <w:tcW w:w="7231" w:type="dxa"/>
            <w:vAlign w:val="center"/>
          </w:tcPr>
          <w:p w14:paraId="1A151331">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Podnoszenie kompetencji i kwalifikacji kandydatów oraz personelu niezbędnego do realizacji usług społecznych na rzecz osób w kryzysie zdrowia psychicznego w środowisku lokalnym</w:t>
            </w:r>
            <w:r>
              <w:rPr>
                <w:bCs/>
                <w:sz w:val="20"/>
              </w:rPr>
            </w:r>
            <w:r>
              <w:rPr>
                <w:bCs/>
                <w:sz w:val="20"/>
              </w:rPr>
            </w:r>
          </w:p>
        </w:tc>
        <w:tc>
          <w:tcPr>
            <w:shd w:val="clear" w:color="ffffff" w:fill="ffffff" w:themeFill="background1"/>
            <w:tcBorders/>
            <w:tcW w:w="1416" w:type="dxa"/>
            <w:vAlign w:val="center"/>
          </w:tcPr>
          <w:p w14:paraId="2197B946">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985" w:type="dxa"/>
            <w:vAlign w:val="center"/>
          </w:tcPr>
          <w:p w14:paraId="657DB9E9">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 </w:t>
            </w:r>
            <w:r>
              <w:rPr>
                <w:bCs/>
                <w:sz w:val="20"/>
              </w:rPr>
            </w:r>
            <w:r>
              <w:rPr>
                <w:bCs/>
                <w:sz w:val="20"/>
              </w:rPr>
            </w:r>
          </w:p>
        </w:tc>
        <w:tc>
          <w:tcPr>
            <w:shd w:val="clear" w:color="ffffff" w:fill="ffffff" w:themeFill="background1"/>
            <w:tcBorders/>
            <w:tcW w:w="3243" w:type="dxa"/>
            <w:vAlign w:val="center"/>
          </w:tcPr>
          <w:p w14:paraId="0FBE3629">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532"/>
        </w:trPr>
        <w:tc>
          <w:tcPr>
            <w:gridSpan w:val="5"/>
            <w:shd w:val="clear" w:color="ffffff" w:fill="ededed" w:themeFill="accent3" w:themeFillTint="33"/>
            <w:tcBorders/>
            <w:tcW w:w="14436" w:type="dxa"/>
            <w:vAlign w:val="center"/>
          </w:tcPr>
          <w:p w14:paraId="253DAF15">
            <w:pPr>
              <w:pStyle w:val="845"/>
              <w:widowControl w:val="true"/>
              <w:pBdr/>
              <w:spacing w:after="120" w:before="0" w:line="240" w:lineRule="auto"/>
              <w:ind/>
              <w:jc w:val="left"/>
              <w:rPr>
                <w:b/>
                <w:sz w:val="20"/>
              </w:rPr>
            </w:pPr>
            <w:r>
              <w:rPr>
                <w:rFonts w:eastAsia="Calibri" w:cs="Times New Roman"/>
                <w:b/>
                <w:sz w:val="20"/>
                <w:szCs w:val="20"/>
                <w:lang w:val="pl-PL" w:eastAsia="pl-PL" w:bidi="ar-SA"/>
              </w:rPr>
              <w:t xml:space="preserve">Cel szczegółowy 2. Zwiększenie dostępu do usług wsparcia dla rodzin osób z zaburzeniami psychicznymi.</w:t>
            </w:r>
            <w:r>
              <w:rPr>
                <w:b/>
                <w:sz w:val="20"/>
              </w:rPr>
            </w:r>
            <w:r>
              <w:rPr>
                <w:b/>
                <w:sz w:val="20"/>
              </w:rPr>
            </w:r>
          </w:p>
        </w:tc>
      </w:tr>
      <w:tr>
        <w:trPr>
          <w:trHeight w:val="412"/>
        </w:trPr>
        <w:tc>
          <w:tcPr>
            <w:shd w:val="clear" w:color="ffffff" w:fill="ffffff" w:themeFill="background1"/>
            <w:tcBorders/>
            <w:tcW w:w="561" w:type="dxa"/>
            <w:vAlign w:val="center"/>
          </w:tcPr>
          <w:p w14:paraId="5D4BAEFC">
            <w:pPr>
              <w:pStyle w:val="845"/>
              <w:widowControl w:val="true"/>
              <w:pBdr/>
              <w:spacing w:after="120" w:before="0" w:line="240" w:lineRule="auto"/>
              <w:ind/>
              <w:jc w:val="center"/>
              <w:rPr>
                <w:bCs/>
                <w:sz w:val="20"/>
              </w:rPr>
            </w:pPr>
            <w:r>
              <w:rPr>
                <w:rFonts w:eastAsia="Calibri" w:cs="Times New Roman"/>
                <w:b/>
                <w:sz w:val="20"/>
                <w:szCs w:val="20"/>
                <w:lang w:val="pl-PL" w:eastAsia="pl-PL" w:bidi="ar-SA"/>
              </w:rPr>
              <w:t xml:space="preserve">Nr</w:t>
            </w:r>
            <w:r>
              <w:rPr>
                <w:bCs/>
                <w:sz w:val="20"/>
              </w:rPr>
            </w:r>
            <w:r>
              <w:rPr>
                <w:bCs/>
                <w:sz w:val="20"/>
              </w:rPr>
            </w:r>
          </w:p>
        </w:tc>
        <w:tc>
          <w:tcPr>
            <w:shd w:val="clear" w:color="ffffff" w:fill="ffffff" w:themeFill="background1"/>
            <w:tcBorders/>
            <w:tcW w:w="7231" w:type="dxa"/>
            <w:vAlign w:val="center"/>
          </w:tcPr>
          <w:p w14:paraId="5BBFE060">
            <w:pPr>
              <w:pStyle w:val="845"/>
              <w:widowControl w:val="true"/>
              <w:pBdr/>
              <w:spacing w:after="120" w:before="0" w:line="240" w:lineRule="auto"/>
              <w:ind/>
              <w:jc w:val="center"/>
              <w:rPr>
                <w:bCs/>
                <w:sz w:val="20"/>
              </w:rPr>
            </w:pPr>
            <w:r>
              <w:rPr>
                <w:rFonts w:eastAsia="Calibri" w:cs="Times New Roman"/>
                <w:b/>
                <w:sz w:val="20"/>
                <w:szCs w:val="20"/>
                <w:lang w:val="pl-PL" w:eastAsia="pl-PL" w:bidi="ar-SA"/>
              </w:rPr>
              <w:t xml:space="preserve">Działanie</w:t>
            </w:r>
            <w:r>
              <w:rPr>
                <w:bCs/>
                <w:sz w:val="20"/>
              </w:rPr>
            </w:r>
            <w:r>
              <w:rPr>
                <w:bCs/>
                <w:sz w:val="20"/>
              </w:rPr>
            </w:r>
          </w:p>
        </w:tc>
        <w:tc>
          <w:tcPr>
            <w:shd w:val="clear" w:color="ffffff" w:fill="ffffff" w:themeFill="background1"/>
            <w:tcBorders/>
            <w:tcW w:w="1416" w:type="dxa"/>
            <w:vAlign w:val="center"/>
          </w:tcPr>
          <w:p w14:paraId="1D6A27DE">
            <w:pPr>
              <w:pStyle w:val="845"/>
              <w:widowControl w:val="true"/>
              <w:pBdr/>
              <w:spacing w:after="120" w:before="0" w:line="240" w:lineRule="auto"/>
              <w:ind/>
              <w:jc w:val="center"/>
              <w:rPr>
                <w:bCs/>
                <w:sz w:val="20"/>
              </w:rPr>
            </w:pPr>
            <w:r>
              <w:rPr>
                <w:rFonts w:eastAsia="Calibri" w:cs="Times New Roman"/>
                <w:b/>
                <w:sz w:val="20"/>
                <w:szCs w:val="20"/>
                <w:lang w:val="pl-PL" w:eastAsia="pl-PL" w:bidi="ar-SA"/>
              </w:rPr>
              <w:t xml:space="preserve">Okres realizacji</w:t>
            </w:r>
            <w:r>
              <w:rPr>
                <w:bCs/>
                <w:sz w:val="20"/>
              </w:rPr>
            </w:r>
            <w:r>
              <w:rPr>
                <w:bCs/>
                <w:sz w:val="20"/>
              </w:rPr>
            </w:r>
          </w:p>
        </w:tc>
        <w:tc>
          <w:tcPr>
            <w:shd w:val="clear" w:color="ffffff" w:fill="ffffff" w:themeFill="background1"/>
            <w:tcBorders/>
            <w:tcW w:w="1985" w:type="dxa"/>
            <w:vAlign w:val="center"/>
          </w:tcPr>
          <w:p w14:paraId="293B7CAF">
            <w:pPr>
              <w:pStyle w:val="845"/>
              <w:widowControl w:val="true"/>
              <w:pBdr/>
              <w:spacing w:after="120" w:before="0" w:line="240" w:lineRule="auto"/>
              <w:ind/>
              <w:jc w:val="center"/>
              <w:rPr>
                <w:bCs/>
                <w:sz w:val="20"/>
              </w:rPr>
            </w:pPr>
            <w:r>
              <w:rPr>
                <w:rFonts w:eastAsia="Calibri" w:cs="Times New Roman"/>
                <w:b/>
                <w:sz w:val="20"/>
                <w:szCs w:val="20"/>
                <w:lang w:val="pl-PL" w:eastAsia="pl-PL" w:bidi="ar-SA"/>
              </w:rPr>
              <w:t xml:space="preserve">Podmioty odpowiedzialne</w:t>
            </w:r>
            <w:r>
              <w:rPr>
                <w:bCs/>
                <w:sz w:val="20"/>
              </w:rPr>
            </w:r>
            <w:r>
              <w:rPr>
                <w:bCs/>
                <w:sz w:val="20"/>
              </w:rPr>
            </w:r>
          </w:p>
        </w:tc>
        <w:tc>
          <w:tcPr>
            <w:shd w:val="clear" w:color="ffffff" w:fill="ffffff" w:themeFill="background1"/>
            <w:tcBorders/>
            <w:tcW w:w="3243" w:type="dxa"/>
            <w:vAlign w:val="center"/>
          </w:tcPr>
          <w:p w14:paraId="079081F4">
            <w:pPr>
              <w:pStyle w:val="845"/>
              <w:widowControl w:val="true"/>
              <w:pBdr/>
              <w:spacing w:after="120" w:before="0" w:line="240" w:lineRule="auto"/>
              <w:ind/>
              <w:jc w:val="center"/>
              <w:rPr>
                <w:bCs/>
                <w:sz w:val="20"/>
              </w:rPr>
            </w:pPr>
            <w:r>
              <w:rPr>
                <w:rFonts w:eastAsia="Calibri" w:cs="Times New Roman"/>
                <w:b/>
                <w:sz w:val="20"/>
                <w:szCs w:val="20"/>
                <w:lang w:val="pl-PL" w:eastAsia="pl-PL" w:bidi="ar-SA"/>
              </w:rPr>
              <w:t xml:space="preserve">Źródło finansowania</w:t>
            </w:r>
            <w:r>
              <w:rPr>
                <w:bCs/>
                <w:sz w:val="20"/>
              </w:rPr>
            </w:r>
            <w:r>
              <w:rPr>
                <w:bCs/>
                <w:sz w:val="20"/>
              </w:rPr>
            </w:r>
          </w:p>
        </w:tc>
      </w:tr>
      <w:tr>
        <w:trPr>
          <w:trHeight w:val="617"/>
        </w:trPr>
        <w:tc>
          <w:tcPr>
            <w:shd w:val="clear" w:color="ffffff" w:fill="ffffff" w:themeFill="background1"/>
            <w:tcBorders/>
            <w:tcW w:w="561" w:type="dxa"/>
            <w:vAlign w:val="center"/>
          </w:tcPr>
          <w:p w14:paraId="574648D0">
            <w:pPr>
              <w:pStyle w:val="845"/>
              <w:widowControl w:val="true"/>
              <w:pBdr/>
              <w:spacing w:after="120" w:before="0" w:line="240" w:lineRule="auto"/>
              <w:ind/>
              <w:jc w:val="center"/>
              <w:rPr>
                <w:bCs/>
                <w:sz w:val="20"/>
              </w:rPr>
            </w:pPr>
            <w:r>
              <w:rPr>
                <w:rFonts w:eastAsia="Calibri" w:cs="Times New Roman"/>
                <w:bCs/>
                <w:sz w:val="20"/>
                <w:szCs w:val="20"/>
                <w:lang w:val="pl-PL" w:eastAsia="pl-PL" w:bidi="ar-SA"/>
              </w:rPr>
              <w:t xml:space="preserve">1.</w:t>
            </w:r>
            <w:r>
              <w:rPr>
                <w:bCs/>
                <w:sz w:val="20"/>
              </w:rPr>
            </w:r>
            <w:r>
              <w:rPr>
                <w:bCs/>
                <w:sz w:val="20"/>
              </w:rPr>
            </w:r>
          </w:p>
        </w:tc>
        <w:tc>
          <w:tcPr>
            <w:shd w:val="clear" w:color="ffffff" w:fill="ffffff" w:themeFill="background1"/>
            <w:tcBorders/>
            <w:tcW w:w="7231" w:type="dxa"/>
            <w:vAlign w:val="center"/>
          </w:tcPr>
          <w:p w14:paraId="64DED934">
            <w:pPr>
              <w:pStyle w:val="845"/>
              <w:widowControl w:val="true"/>
              <w:pBdr/>
              <w:spacing w:after="120" w:before="0" w:line="240" w:lineRule="auto"/>
              <w:ind/>
              <w:jc w:val="left"/>
              <w:rPr>
                <w:bCs/>
                <w:sz w:val="20"/>
              </w:rPr>
            </w:pPr>
            <w:r>
              <w:rPr>
                <w:rFonts w:eastAsia="Calibri" w:cs="Times New Roman"/>
                <w:sz w:val="20"/>
                <w:szCs w:val="20"/>
                <w:lang w:val="pl-PL" w:eastAsia="pl-PL" w:bidi="ar-SA"/>
              </w:rPr>
              <w:t xml:space="preserve">Zapewnianie opieki wytchnieniowej dla osób z zaburzeniami psychicznymi wymagających wsparcia w codziennym funkcjonowaniu.</w:t>
            </w:r>
            <w:r>
              <w:rPr>
                <w:bCs/>
                <w:sz w:val="20"/>
              </w:rPr>
            </w:r>
            <w:r>
              <w:rPr>
                <w:bCs/>
                <w:sz w:val="20"/>
              </w:rPr>
            </w:r>
          </w:p>
        </w:tc>
        <w:tc>
          <w:tcPr>
            <w:shd w:val="clear" w:color="ffffff" w:fill="ffffff" w:themeFill="background1"/>
            <w:tcBorders/>
            <w:tcW w:w="1416" w:type="dxa"/>
            <w:vAlign w:val="center"/>
          </w:tcPr>
          <w:p w14:paraId="7AFEC1E5">
            <w:pPr>
              <w:pStyle w:val="845"/>
              <w:widowControl w:val="true"/>
              <w:pBdr/>
              <w:spacing w:after="12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985" w:type="dxa"/>
            <w:vAlign w:val="center"/>
          </w:tcPr>
          <w:p w14:paraId="7A7B7C4C">
            <w:pPr>
              <w:pStyle w:val="845"/>
              <w:widowControl w:val="true"/>
              <w:pBdr/>
              <w:spacing w:after="12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43" w:type="dxa"/>
            <w:vAlign w:val="center"/>
          </w:tcPr>
          <w:p w14:paraId="2211A9C6">
            <w:pPr>
              <w:pStyle w:val="845"/>
              <w:widowControl w:val="true"/>
              <w:pBdr/>
              <w:spacing w:after="12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bl>
    <w:p w14:paraId="06F942FF">
      <w:pPr>
        <w:pStyle w:val="847"/>
        <w:pBdr/>
        <w:spacing/>
        <w:ind/>
        <w:rPr>
          <w:highlight w:val="none"/>
        </w:rPr>
      </w:pPr>
      <w:r/>
      <w:bookmarkStart w:id="28" w:name="_Toc226230134"/>
      <w:r>
        <w:t xml:space="preserve">4.5. Osoby w kryzysie bezdomności i zagrożone bezdomnością</w:t>
      </w:r>
      <w:bookmarkEnd w:id="28"/>
      <w:r/>
      <w:r>
        <w:rPr>
          <w:highlight w:val="none"/>
        </w:rPr>
      </w:r>
    </w:p>
    <w:tbl>
      <w:tblPr>
        <w:tblStyle w:val="938"/>
        <w:jc w:val="center"/>
        <w:tblInd w:w="0" w:type="dxa"/>
        <w:tblW w:w="14455" w:type="dxa"/>
        <w:tblCellMar>
          <w:left w:w="108" w:type="dxa"/>
          <w:top w:w="0" w:type="dxa"/>
          <w:right w:w="108" w:type="dxa"/>
          <w:bottom w:w="0" w:type="dxa"/>
        </w:tblCellMar>
        <w:tblBorders/>
        <w:tblLayout w:type="fixed"/>
        <w:tblLook w:val="04A0" w:firstRow="1" w:lastRow="0" w:firstColumn="1" w:lastColumn="0" w:noHBand="0" w:noVBand="1"/>
      </w:tblPr>
      <w:tblGrid>
        <w:gridCol w:w="565"/>
        <w:gridCol w:w="7227"/>
        <w:gridCol w:w="1558"/>
        <w:gridCol w:w="1843"/>
        <w:gridCol w:w="3262"/>
      </w:tblGrid>
      <w:tr>
        <w:trPr>
          <w:trHeight w:val="374"/>
        </w:trPr>
        <w:tc>
          <w:tcPr>
            <w:gridSpan w:val="5"/>
            <w:shd w:val="clear" w:color="ffffff" w:fill="ededed" w:themeFill="accent3" w:themeFillTint="33"/>
            <w:tcBorders/>
            <w:tcW w:w="14455" w:type="dxa"/>
            <w:vAlign w:val="center"/>
          </w:tcPr>
          <w:p w14:paraId="1517CB68">
            <w:pPr>
              <w:pStyle w:val="845"/>
              <w:widowControl w:val="true"/>
              <w:pBdr/>
              <w:spacing w:after="0" w:before="0" w:line="240" w:lineRule="auto"/>
              <w:ind/>
              <w:jc w:val="left"/>
              <w:rPr>
                <w:b/>
                <w:sz w:val="20"/>
              </w:rPr>
            </w:pPr>
            <w:r>
              <w:rPr>
                <w:rFonts w:eastAsia="Calibri" w:cs="Times New Roman"/>
                <w:b/>
                <w:sz w:val="20"/>
                <w:szCs w:val="20"/>
                <w:lang w:val="pl-PL" w:eastAsia="pl-PL" w:bidi="ar-SA"/>
              </w:rPr>
              <w:t xml:space="preserve">Cel ogólny:</w:t>
            </w:r>
            <w:r>
              <w:rPr>
                <w:rFonts w:eastAsia="Calibri" w:cs="Arial" w:eastAsiaTheme="minorHAnsi" w:cstheme="minorBidi"/>
                <w:sz w:val="20"/>
                <w:szCs w:val="20"/>
                <w:lang w:val="pl-PL" w:eastAsia="en-US" w:bidi="ar-SA"/>
                <w14:ligatures w14:val="standardContextual"/>
              </w:rPr>
              <w:t xml:space="preserve"> </w:t>
            </w:r>
            <w:r>
              <w:rPr>
                <w:rFonts w:eastAsia="Calibri" w:cs="Times New Roman"/>
                <w:b/>
                <w:sz w:val="20"/>
                <w:szCs w:val="20"/>
                <w:lang w:val="pl-PL" w:eastAsia="pl-PL" w:bidi="ar-SA"/>
              </w:rPr>
              <w:t xml:space="preserve">Poprawa jakości życia osób w kryzysie bezdomności</w:t>
            </w:r>
            <w:r>
              <w:rPr>
                <w:b/>
                <w:sz w:val="20"/>
              </w:rPr>
            </w:r>
            <w:r>
              <w:rPr>
                <w:b/>
                <w:sz w:val="20"/>
              </w:rPr>
            </w:r>
          </w:p>
        </w:tc>
      </w:tr>
      <w:tr>
        <w:trPr>
          <w:trHeight w:val="280"/>
        </w:trPr>
        <w:tc>
          <w:tcPr>
            <w:gridSpan w:val="5"/>
            <w:shd w:val="clear" w:color="ffffff" w:fill="ededed" w:themeFill="accent3" w:themeFillTint="33"/>
            <w:tcBorders/>
            <w:tcW w:w="14455" w:type="dxa"/>
            <w:vAlign w:val="center"/>
          </w:tcPr>
          <w:p w14:paraId="68E88084">
            <w:pPr>
              <w:pStyle w:val="845"/>
              <w:widowControl w:val="true"/>
              <w:pBdr/>
              <w:spacing w:after="0" w:before="0" w:line="240" w:lineRule="auto"/>
              <w:ind/>
              <w:jc w:val="left"/>
              <w:rPr>
                <w:b/>
                <w:sz w:val="20"/>
              </w:rPr>
            </w:pPr>
            <w:r>
              <w:rPr>
                <w:rFonts w:eastAsia="Calibri" w:cs="Times New Roman"/>
                <w:b/>
                <w:sz w:val="20"/>
                <w:szCs w:val="20"/>
                <w:lang w:val="pl-PL" w:eastAsia="pl-PL" w:bidi="ar-SA"/>
              </w:rPr>
              <w:t xml:space="preserve">Cel szczegółowy 1.</w:t>
            </w:r>
            <w:r>
              <w:rPr>
                <w:rFonts w:eastAsia="Calibri" w:cs="Times New Roman"/>
                <w:sz w:val="20"/>
                <w:szCs w:val="20"/>
                <w:lang w:val="pl-PL" w:eastAsia="pl-PL" w:bidi="ar-SA"/>
              </w:rPr>
              <w:t xml:space="preserve"> </w:t>
            </w:r>
            <w:r>
              <w:rPr>
                <w:rFonts w:eastAsia="Calibri" w:cs="Times New Roman"/>
                <w:b/>
                <w:bCs/>
                <w:sz w:val="20"/>
                <w:szCs w:val="20"/>
                <w:lang w:val="pl-PL" w:eastAsia="pl-PL" w:bidi="ar-SA"/>
              </w:rPr>
              <w:t xml:space="preserve">Zwiększenie dostępu do usług społecznych dla osób w kryzysie bezdomności</w:t>
            </w:r>
            <w:r>
              <w:rPr>
                <w:b/>
                <w:sz w:val="20"/>
              </w:rPr>
            </w:r>
            <w:r>
              <w:rPr>
                <w:b/>
                <w:sz w:val="20"/>
              </w:rPr>
            </w:r>
          </w:p>
        </w:tc>
      </w:tr>
      <w:tr>
        <w:trPr>
          <w:trHeight w:val="425"/>
        </w:trPr>
        <w:tc>
          <w:tcPr>
            <w:shd w:val="clear" w:color="ffffff" w:fill="ffffff" w:themeFill="background1"/>
            <w:tcBorders/>
            <w:tcW w:w="565" w:type="dxa"/>
            <w:vAlign w:val="center"/>
          </w:tcPr>
          <w:p w14:paraId="7ABF2FEF">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Nr</w:t>
            </w:r>
            <w:r>
              <w:rPr>
                <w:b/>
                <w:sz w:val="20"/>
              </w:rPr>
            </w:r>
            <w:r>
              <w:rPr>
                <w:b/>
                <w:sz w:val="20"/>
              </w:rPr>
            </w:r>
          </w:p>
        </w:tc>
        <w:tc>
          <w:tcPr>
            <w:shd w:val="clear" w:color="ffffff" w:fill="ffffff" w:themeFill="background1"/>
            <w:tcBorders/>
            <w:tcW w:w="7227" w:type="dxa"/>
            <w:vAlign w:val="center"/>
          </w:tcPr>
          <w:p w14:paraId="5BCE2A03">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Działanie</w:t>
            </w:r>
            <w:r>
              <w:rPr>
                <w:b/>
                <w:sz w:val="20"/>
              </w:rPr>
            </w:r>
            <w:r>
              <w:rPr>
                <w:b/>
                <w:sz w:val="20"/>
              </w:rPr>
            </w:r>
          </w:p>
        </w:tc>
        <w:tc>
          <w:tcPr>
            <w:shd w:val="clear" w:color="ffffff" w:fill="ffffff" w:themeFill="background1"/>
            <w:tcBorders/>
            <w:tcW w:w="1558" w:type="dxa"/>
            <w:vAlign w:val="center"/>
          </w:tcPr>
          <w:p w14:paraId="1096278B">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Okres realizacji</w:t>
            </w:r>
            <w:r>
              <w:rPr>
                <w:b/>
                <w:sz w:val="20"/>
              </w:rPr>
            </w:r>
            <w:r>
              <w:rPr>
                <w:b/>
                <w:sz w:val="20"/>
              </w:rPr>
            </w:r>
          </w:p>
        </w:tc>
        <w:tc>
          <w:tcPr>
            <w:shd w:val="clear" w:color="ffffff" w:fill="ffffff" w:themeFill="background1"/>
            <w:tcBorders/>
            <w:tcW w:w="1843" w:type="dxa"/>
            <w:vAlign w:val="center"/>
          </w:tcPr>
          <w:p w14:paraId="7595C113">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Podmioty odpowiedzialne</w:t>
            </w:r>
            <w:r>
              <w:rPr>
                <w:b/>
                <w:sz w:val="20"/>
              </w:rPr>
            </w:r>
            <w:r>
              <w:rPr>
                <w:b/>
                <w:sz w:val="20"/>
              </w:rPr>
            </w:r>
          </w:p>
        </w:tc>
        <w:tc>
          <w:tcPr>
            <w:shd w:val="clear" w:color="ffffff" w:fill="ffffff" w:themeFill="background1"/>
            <w:tcBorders/>
            <w:tcW w:w="3262" w:type="dxa"/>
            <w:vAlign w:val="center"/>
          </w:tcPr>
          <w:p w14:paraId="47202C72">
            <w:pPr>
              <w:pStyle w:val="845"/>
              <w:widowControl w:val="true"/>
              <w:pBdr/>
              <w:spacing w:after="0" w:before="0" w:line="240" w:lineRule="auto"/>
              <w:ind/>
              <w:jc w:val="center"/>
              <w:rPr>
                <w:b/>
                <w:sz w:val="20"/>
              </w:rPr>
            </w:pPr>
            <w:r>
              <w:rPr>
                <w:rFonts w:eastAsia="Calibri" w:cs="Times New Roman"/>
                <w:b/>
                <w:sz w:val="20"/>
                <w:szCs w:val="20"/>
                <w:lang w:val="pl-PL" w:eastAsia="pl-PL" w:bidi="ar-SA"/>
              </w:rPr>
              <w:t xml:space="preserve">Źródło finansowania</w:t>
            </w:r>
            <w:r>
              <w:rPr>
                <w:b/>
                <w:sz w:val="20"/>
              </w:rPr>
            </w:r>
            <w:r>
              <w:rPr>
                <w:b/>
                <w:sz w:val="20"/>
              </w:rPr>
            </w:r>
          </w:p>
        </w:tc>
      </w:tr>
      <w:tr>
        <w:trPr>
          <w:trHeight w:val="759"/>
        </w:trPr>
        <w:tc>
          <w:tcPr>
            <w:shd w:val="clear" w:color="ffffff" w:fill="ffffff" w:themeFill="background1"/>
            <w:tcBorders/>
            <w:tcW w:w="565" w:type="dxa"/>
            <w:vAlign w:val="center"/>
          </w:tcPr>
          <w:p w14:paraId="5616B7AF">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1.</w:t>
            </w:r>
            <w:r>
              <w:rPr>
                <w:bCs/>
                <w:sz w:val="20"/>
              </w:rPr>
            </w:r>
            <w:r>
              <w:rPr>
                <w:bCs/>
                <w:sz w:val="20"/>
              </w:rPr>
            </w:r>
          </w:p>
        </w:tc>
        <w:tc>
          <w:tcPr>
            <w:shd w:val="clear" w:color="ffffff" w:fill="ffffff" w:themeFill="background1"/>
            <w:tcBorders/>
            <w:tcW w:w="7227" w:type="dxa"/>
            <w:vAlign w:val="center"/>
          </w:tcPr>
          <w:p w14:paraId="414BC972">
            <w:pPr>
              <w:pStyle w:val="845"/>
              <w:widowControl w:val="true"/>
              <w:pBdr/>
              <w:spacing w:after="0" w:before="0" w:line="240" w:lineRule="auto"/>
              <w:ind/>
              <w:jc w:val="left"/>
              <w:rPr>
                <w:sz w:val="20"/>
              </w:rPr>
            </w:pPr>
            <w:r>
              <w:rPr>
                <w:rFonts w:eastAsia="Calibri" w:cs="Times New Roman"/>
                <w:sz w:val="20"/>
                <w:szCs w:val="20"/>
                <w:lang w:val="pl-PL" w:eastAsia="pl-PL" w:bidi="ar-SA"/>
              </w:rPr>
              <w:t xml:space="preserve">Zapewnienie miejsc dla osób w kryzysie bezdomności w ogrzewalniach, noclegowniach i schroniskach.</w:t>
            </w:r>
            <w:r>
              <w:rPr>
                <w:sz w:val="20"/>
              </w:rPr>
            </w:r>
            <w:r>
              <w:rPr>
                <w:sz w:val="20"/>
              </w:rPr>
            </w:r>
          </w:p>
        </w:tc>
        <w:tc>
          <w:tcPr>
            <w:shd w:val="clear" w:color="ffffff" w:fill="ffffff" w:themeFill="background1"/>
            <w:tcBorders/>
            <w:tcW w:w="1558" w:type="dxa"/>
            <w:vAlign w:val="center"/>
          </w:tcPr>
          <w:p w14:paraId="481E3C1B">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43" w:type="dxa"/>
            <w:vAlign w:val="center"/>
          </w:tcPr>
          <w:p w14:paraId="226B7191">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62" w:type="dxa"/>
            <w:vAlign w:val="center"/>
          </w:tcPr>
          <w:p w14:paraId="6A17A100">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r>
        <w:trPr>
          <w:trHeight w:val="983"/>
        </w:trPr>
        <w:tc>
          <w:tcPr>
            <w:shd w:val="clear" w:color="ffffff" w:fill="ffffff" w:themeFill="background1"/>
            <w:tcBorders/>
            <w:tcW w:w="565" w:type="dxa"/>
            <w:vAlign w:val="center"/>
          </w:tcPr>
          <w:p w14:paraId="6BFEDD75">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w:t>
            </w:r>
            <w:r>
              <w:rPr>
                <w:bCs/>
                <w:sz w:val="20"/>
              </w:rPr>
            </w:r>
            <w:r>
              <w:rPr>
                <w:bCs/>
                <w:sz w:val="20"/>
              </w:rPr>
            </w:r>
          </w:p>
        </w:tc>
        <w:tc>
          <w:tcPr>
            <w:shd w:val="clear" w:color="ffffff" w:fill="ffffff" w:themeFill="background1"/>
            <w:tcBorders/>
            <w:tcW w:w="7227" w:type="dxa"/>
            <w:vAlign w:val="center"/>
          </w:tcPr>
          <w:p w14:paraId="036B649F">
            <w:pPr>
              <w:pStyle w:val="845"/>
              <w:widowControl w:val="true"/>
              <w:pBdr/>
              <w:spacing w:after="0" w:before="0" w:line="240" w:lineRule="auto"/>
              <w:ind/>
              <w:jc w:val="left"/>
              <w:rPr>
                <w:bCs/>
                <w:sz w:val="20"/>
              </w:rPr>
            </w:pPr>
            <w:r>
              <w:rPr>
                <w:rFonts w:eastAsia="Calibri" w:cs="Times New Roman"/>
                <w:sz w:val="20"/>
                <w:szCs w:val="20"/>
                <w:lang w:val="pl-PL" w:eastAsia="pl-PL" w:bidi="ar-SA"/>
              </w:rPr>
              <w:t xml:space="preserve">Szkolenia podnoszące kwalifikacje i kompetencje na potrzeby świadczenia usług w społeczności lokalnej na rzecz osób w kryzysie bezdomności, w tym dostęp do superwizji</w:t>
            </w:r>
            <w:r>
              <w:rPr>
                <w:bCs/>
                <w:sz w:val="20"/>
              </w:rPr>
            </w:r>
            <w:r>
              <w:rPr>
                <w:bCs/>
                <w:sz w:val="20"/>
              </w:rPr>
            </w:r>
          </w:p>
        </w:tc>
        <w:tc>
          <w:tcPr>
            <w:shd w:val="clear" w:color="ffffff" w:fill="ffffff" w:themeFill="background1"/>
            <w:tcBorders/>
            <w:tcW w:w="1558" w:type="dxa"/>
            <w:vAlign w:val="center"/>
          </w:tcPr>
          <w:p w14:paraId="6ACB09D3">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2026-2030</w:t>
            </w:r>
            <w:r>
              <w:rPr>
                <w:bCs/>
                <w:sz w:val="20"/>
              </w:rPr>
            </w:r>
            <w:r>
              <w:rPr>
                <w:bCs/>
                <w:sz w:val="20"/>
              </w:rPr>
            </w:r>
          </w:p>
        </w:tc>
        <w:tc>
          <w:tcPr>
            <w:shd w:val="clear" w:color="ffffff" w:fill="ffffff" w:themeFill="background1"/>
            <w:tcBorders/>
            <w:tcW w:w="1843" w:type="dxa"/>
            <w:vAlign w:val="center"/>
          </w:tcPr>
          <w:p w14:paraId="77796ED7">
            <w:pPr>
              <w:pStyle w:val="845"/>
              <w:widowControl w:val="true"/>
              <w:pBdr/>
              <w:spacing w:after="0" w:before="0" w:line="240" w:lineRule="auto"/>
              <w:ind/>
              <w:jc w:val="center"/>
              <w:rPr>
                <w:bCs/>
                <w:sz w:val="20"/>
              </w:rPr>
            </w:pPr>
            <w:r>
              <w:rPr>
                <w:rFonts w:eastAsia="Calibri" w:cs="Times New Roman"/>
                <w:bCs/>
                <w:sz w:val="20"/>
                <w:szCs w:val="20"/>
                <w:lang w:val="pl-PL" w:eastAsia="pl-PL" w:bidi="ar-SA"/>
              </w:rPr>
              <w:t xml:space="preserve">GOPS w Braniewie</w:t>
            </w:r>
            <w:r>
              <w:rPr>
                <w:bCs/>
                <w:sz w:val="20"/>
              </w:rPr>
            </w:r>
            <w:r>
              <w:rPr>
                <w:bCs/>
                <w:sz w:val="20"/>
              </w:rPr>
            </w:r>
          </w:p>
        </w:tc>
        <w:tc>
          <w:tcPr>
            <w:shd w:val="clear" w:color="ffffff" w:fill="ffffff" w:themeFill="background1"/>
            <w:tcBorders/>
            <w:tcW w:w="3262" w:type="dxa"/>
            <w:vAlign w:val="center"/>
          </w:tcPr>
          <w:p w14:paraId="2490F610">
            <w:pPr>
              <w:pStyle w:val="845"/>
              <w:widowControl w:val="true"/>
              <w:pBdr/>
              <w:spacing w:after="0" w:before="0" w:line="240" w:lineRule="auto"/>
              <w:ind/>
              <w:jc w:val="left"/>
              <w:rPr>
                <w:bCs/>
                <w:sz w:val="20"/>
              </w:rPr>
            </w:pPr>
            <w:r>
              <w:rPr>
                <w:rFonts w:eastAsia="Calibri" w:cs="Times New Roman"/>
                <w:bCs/>
                <w:sz w:val="20"/>
                <w:szCs w:val="20"/>
                <w:lang w:val="pl-PL" w:eastAsia="pl-PL" w:bidi="ar-SA"/>
              </w:rPr>
              <w:t xml:space="preserve">Budżet gminy, środki publiczne krajowe, Fundusze Europejskie dla Warmii i Mazur </w:t>
            </w:r>
            <w:r>
              <w:rPr>
                <w:rFonts w:eastAsia="Calibri" w:cs="Times New Roman"/>
                <w:bCs/>
                <w:sz w:val="20"/>
                <w:szCs w:val="16"/>
                <w:lang w:val="pl-PL" w:eastAsia="pl-PL" w:bidi="ar-SA"/>
              </w:rPr>
              <w:t xml:space="preserve">2021-2027</w:t>
            </w:r>
            <w:r>
              <w:rPr>
                <w:bCs/>
                <w:sz w:val="20"/>
              </w:rPr>
            </w:r>
            <w:r>
              <w:rPr>
                <w:bCs/>
                <w:sz w:val="20"/>
              </w:rPr>
            </w:r>
          </w:p>
        </w:tc>
      </w:tr>
    </w:tbl>
    <w:p w14:paraId="30B8199F">
      <w:pPr>
        <w:pStyle w:val="845"/>
        <w:pBdr/>
        <w:spacing w:after="160" w:before="0"/>
        <w:ind/>
        <w:rPr/>
        <w:sectPr>
          <w:footnotePr>
            <w:numFmt w:val="decimal"/>
          </w:footnotePr>
          <w:endnotePr/>
          <w:type w:val="nextPage"/>
          <w:pgSz w:h="11906" w:orient="landscape" w:w="16838"/>
          <w:pgMar w:top="708" w:right="1417" w:bottom="1417" w:left="1417" w:header="709" w:footer="709" w:gutter="0"/>
          <w:cols w:num="1" w:sep="0" w:space="1701" w:equalWidth="1"/>
        </w:sectPr>
      </w:pPr>
      <w:r/>
      <w:r/>
    </w:p>
    <w:p w14:paraId="78269DD8">
      <w:pPr>
        <w:pStyle w:val="846"/>
        <w:pBdr/>
        <w:spacing/>
        <w:ind/>
        <w:rPr>
          <w:sz w:val="22"/>
          <w:szCs w:val="22"/>
        </w:rPr>
      </w:pPr>
      <w:r>
        <w:rPr>
          <w:sz w:val="22"/>
          <w:szCs w:val="22"/>
        </w:rPr>
      </w:r>
      <w:bookmarkStart w:id="29" w:name="_Toc226230135"/>
      <w:r>
        <w:rPr>
          <w:sz w:val="22"/>
          <w:szCs w:val="22"/>
        </w:rPr>
        <w:t xml:space="preserve">5. Monitoring</w:t>
      </w:r>
      <w:bookmarkEnd w:id="29"/>
      <w:r>
        <w:rPr>
          <w:sz w:val="22"/>
          <w:szCs w:val="22"/>
        </w:rPr>
      </w:r>
      <w:r>
        <w:rPr>
          <w:sz w:val="22"/>
          <w:szCs w:val="22"/>
        </w:rPr>
      </w:r>
    </w:p>
    <w:p w14:paraId="36A907FC">
      <w:pPr>
        <w:pStyle w:val="845"/>
        <w:pBdr/>
        <w:spacing w:after="0" w:before="0" w:line="276" w:lineRule="auto"/>
        <w:ind/>
        <w:rPr>
          <w:sz w:val="22"/>
          <w:szCs w:val="22"/>
        </w:rPr>
      </w:pPr>
      <w:r>
        <w:rPr>
          <w:sz w:val="22"/>
          <w:szCs w:val="22"/>
        </w:rPr>
        <w:t xml:space="preserve">Monitoring wskaźników określonych dla każdego z obszarów interwencji będzie prowadzony na bieżąco, a jego wyniki będą corocznie ujmowane w sprawozdaniu z działalności GOPS </w:t>
        <w:br/>
        <w:t xml:space="preserve">w Braniewie. Na koniec obowiązywania </w:t>
      </w:r>
      <w:r>
        <w:rPr>
          <w:i/>
          <w:iCs/>
          <w:sz w:val="22"/>
          <w:szCs w:val="22"/>
        </w:rPr>
        <w:t xml:space="preserve">Lokalnego Planu Deinstytucjonalizacji Usług Społecznych w Gminie Braniewo na lata 2026-2030 </w:t>
      </w:r>
      <w:r>
        <w:rPr>
          <w:sz w:val="22"/>
          <w:szCs w:val="22"/>
        </w:rPr>
        <w:t xml:space="preserve">zostanie opracowany raport z jego realizacji, który następnie zostanie przedłożony Wójtowi.</w:t>
      </w:r>
      <w:r>
        <w:rPr>
          <w:sz w:val="22"/>
          <w:szCs w:val="22"/>
        </w:rPr>
      </w:r>
      <w:r>
        <w:rPr>
          <w:sz w:val="22"/>
          <w:szCs w:val="22"/>
        </w:rPr>
      </w:r>
    </w:p>
    <w:p w14:paraId="0069519D">
      <w:pPr>
        <w:pStyle w:val="845"/>
        <w:pBdr/>
        <w:spacing/>
        <w:ind/>
        <w:jc w:val="center"/>
        <w:rPr>
          <w:b/>
          <w:bCs/>
        </w:rPr>
      </w:pPr>
      <w:r>
        <w:rPr>
          <w:b/>
          <w:bCs/>
        </w:rPr>
        <w:t xml:space="preserve">WSKAŹNIKI MONITORINGU</w:t>
      </w:r>
      <w:r>
        <w:rPr>
          <w:b/>
          <w:bCs/>
        </w:rPr>
      </w:r>
      <w:r>
        <w:rPr>
          <w:b/>
          <w:bCs/>
        </w:rPr>
      </w:r>
    </w:p>
    <w:tbl>
      <w:tblPr>
        <w:tblStyle w:val="938"/>
        <w:jc w:val="center"/>
        <w:tblInd w:w="0" w:type="dxa"/>
        <w:tblW w:w="8969" w:type="dxa"/>
        <w:tblCellMar>
          <w:left w:w="108" w:type="dxa"/>
          <w:top w:w="0" w:type="dxa"/>
          <w:right w:w="108" w:type="dxa"/>
          <w:bottom w:w="0" w:type="dxa"/>
        </w:tblCellMar>
        <w:tblBorders/>
        <w:tblLayout w:type="fixed"/>
        <w:tblLook w:val="04A0" w:firstRow="1" w:lastRow="0" w:firstColumn="1" w:lastColumn="0" w:noHBand="0" w:noVBand="1"/>
      </w:tblPr>
      <w:tblGrid>
        <w:gridCol w:w="554"/>
        <w:gridCol w:w="8415"/>
      </w:tblGrid>
      <w:tr>
        <w:trPr>
          <w:trHeight w:val="493"/>
        </w:trPr>
        <w:tc>
          <w:tcPr>
            <w:shd w:val="clear" w:color="ffffff" w:fill="c5e0b3" w:themeFill="accent6" w:themeFillTint="66"/>
            <w:tcBorders/>
            <w:tcW w:w="554" w:type="dxa"/>
            <w:vAlign w:val="center"/>
          </w:tcPr>
          <w:p w14:paraId="2307364F">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Lp.</w:t>
            </w:r>
            <w:r>
              <w:rPr>
                <w:b/>
                <w:bCs/>
                <w:sz w:val="22"/>
                <w:szCs w:val="18"/>
              </w:rPr>
            </w:r>
            <w:r>
              <w:rPr>
                <w:b/>
                <w:bCs/>
                <w:sz w:val="22"/>
                <w:szCs w:val="18"/>
              </w:rPr>
            </w:r>
          </w:p>
        </w:tc>
        <w:tc>
          <w:tcPr>
            <w:shd w:val="clear" w:color="ffffff" w:fill="c5e0b3" w:themeFill="accent6" w:themeFillTint="66"/>
            <w:tcBorders/>
            <w:tcW w:w="8415" w:type="dxa"/>
            <w:vAlign w:val="center"/>
          </w:tcPr>
          <w:p w14:paraId="46A48BED">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Nazwa wskaźnika</w:t>
            </w:r>
            <w:r>
              <w:rPr>
                <w:b/>
                <w:bCs/>
                <w:sz w:val="22"/>
                <w:szCs w:val="18"/>
              </w:rPr>
            </w:r>
            <w:r>
              <w:rPr>
                <w:b/>
                <w:bCs/>
                <w:sz w:val="22"/>
                <w:szCs w:val="18"/>
              </w:rPr>
            </w:r>
          </w:p>
        </w:tc>
      </w:tr>
      <w:tr>
        <w:trPr>
          <w:trHeight w:val="364"/>
        </w:trPr>
        <w:tc>
          <w:tcPr>
            <w:gridSpan w:val="2"/>
            <w:shd w:val="clear" w:color="ffffff" w:fill="e2efd9" w:themeFill="accent6" w:themeFillTint="33"/>
            <w:tcBorders/>
            <w:tcW w:w="8969" w:type="dxa"/>
            <w:vAlign w:val="center"/>
          </w:tcPr>
          <w:p w14:paraId="044C2DF2">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1. Rodziny z dziećmi</w:t>
            </w:r>
            <w:r>
              <w:rPr>
                <w:b/>
                <w:bCs/>
                <w:sz w:val="22"/>
                <w:szCs w:val="18"/>
              </w:rPr>
            </w:r>
            <w:r>
              <w:rPr>
                <w:b/>
                <w:bCs/>
                <w:sz w:val="22"/>
                <w:szCs w:val="18"/>
              </w:rPr>
            </w:r>
          </w:p>
        </w:tc>
      </w:tr>
      <w:tr>
        <w:trPr>
          <w:trHeight w:val="311"/>
        </w:trPr>
        <w:tc>
          <w:tcPr>
            <w:tcBorders/>
            <w:tcW w:w="554" w:type="dxa"/>
            <w:vAlign w:val="center"/>
          </w:tcPr>
          <w:p w14:paraId="61391E74">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1.</w:t>
            </w:r>
            <w:r>
              <w:rPr>
                <w:sz w:val="22"/>
                <w:szCs w:val="18"/>
              </w:rPr>
            </w:r>
            <w:r>
              <w:rPr>
                <w:sz w:val="22"/>
                <w:szCs w:val="18"/>
              </w:rPr>
            </w:r>
          </w:p>
        </w:tc>
        <w:tc>
          <w:tcPr>
            <w:tcBorders/>
            <w:tcW w:w="8415" w:type="dxa"/>
            <w:vAlign w:val="center"/>
          </w:tcPr>
          <w:p w14:paraId="20FFD14F">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rodzin i osób w rodzinach objętych pracą socjalną</w:t>
            </w:r>
            <w:r>
              <w:rPr>
                <w:sz w:val="22"/>
                <w:szCs w:val="18"/>
              </w:rPr>
            </w:r>
            <w:r>
              <w:rPr>
                <w:sz w:val="22"/>
                <w:szCs w:val="18"/>
              </w:rPr>
            </w:r>
          </w:p>
        </w:tc>
      </w:tr>
      <w:tr>
        <w:trPr>
          <w:trHeight w:val="297"/>
        </w:trPr>
        <w:tc>
          <w:tcPr>
            <w:tcBorders/>
            <w:tcW w:w="554" w:type="dxa"/>
            <w:vAlign w:val="center"/>
          </w:tcPr>
          <w:p w14:paraId="46D9D244">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2.</w:t>
            </w:r>
            <w:r>
              <w:rPr>
                <w:sz w:val="22"/>
                <w:szCs w:val="18"/>
              </w:rPr>
            </w:r>
            <w:r>
              <w:rPr>
                <w:sz w:val="22"/>
                <w:szCs w:val="18"/>
              </w:rPr>
            </w:r>
          </w:p>
        </w:tc>
        <w:tc>
          <w:tcPr>
            <w:tcBorders/>
            <w:tcW w:w="8415" w:type="dxa"/>
            <w:vAlign w:val="center"/>
          </w:tcPr>
          <w:p w14:paraId="236ECDEB">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rodzin i osób w rodzinach objętych asystenturą rodziną</w:t>
            </w:r>
            <w:r>
              <w:rPr>
                <w:sz w:val="22"/>
                <w:szCs w:val="18"/>
              </w:rPr>
            </w:r>
            <w:r>
              <w:rPr>
                <w:sz w:val="22"/>
                <w:szCs w:val="18"/>
              </w:rPr>
            </w:r>
          </w:p>
        </w:tc>
      </w:tr>
      <w:tr>
        <w:trPr>
          <w:trHeight w:val="297"/>
        </w:trPr>
        <w:tc>
          <w:tcPr>
            <w:tcBorders/>
            <w:tcW w:w="554" w:type="dxa"/>
            <w:vAlign w:val="center"/>
          </w:tcPr>
          <w:p w14:paraId="47B59BF5">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3.</w:t>
            </w:r>
            <w:r>
              <w:rPr>
                <w:sz w:val="22"/>
                <w:szCs w:val="18"/>
              </w:rPr>
            </w:r>
            <w:r>
              <w:rPr>
                <w:sz w:val="22"/>
                <w:szCs w:val="18"/>
              </w:rPr>
            </w:r>
          </w:p>
        </w:tc>
        <w:tc>
          <w:tcPr>
            <w:tcBorders/>
            <w:tcW w:w="8415" w:type="dxa"/>
            <w:vAlign w:val="center"/>
          </w:tcPr>
          <w:p w14:paraId="50719101">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rodzin objętych poradnictwem specjalistycznym, interwencją kryzysową</w:t>
            </w:r>
            <w:r>
              <w:rPr>
                <w:sz w:val="22"/>
                <w:szCs w:val="18"/>
              </w:rPr>
            </w:r>
            <w:r>
              <w:rPr>
                <w:sz w:val="22"/>
                <w:szCs w:val="18"/>
              </w:rPr>
            </w:r>
          </w:p>
        </w:tc>
      </w:tr>
      <w:tr>
        <w:trPr>
          <w:trHeight w:val="297"/>
        </w:trPr>
        <w:tc>
          <w:tcPr>
            <w:tcBorders/>
            <w:tcW w:w="554" w:type="dxa"/>
            <w:vAlign w:val="center"/>
          </w:tcPr>
          <w:p w14:paraId="15497D23">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4.</w:t>
            </w:r>
            <w:r>
              <w:rPr>
                <w:sz w:val="22"/>
                <w:szCs w:val="18"/>
              </w:rPr>
            </w:r>
            <w:r>
              <w:rPr>
                <w:sz w:val="22"/>
                <w:szCs w:val="18"/>
              </w:rPr>
            </w:r>
          </w:p>
        </w:tc>
        <w:tc>
          <w:tcPr>
            <w:tcBorders/>
            <w:tcW w:w="8415" w:type="dxa"/>
            <w:vAlign w:val="center"/>
          </w:tcPr>
          <w:p w14:paraId="572F05EF">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podnoszących kwalifikacje i kompetencje na potrzeby świadczenia usług w społeczności lokalnej</w:t>
            </w:r>
            <w:r>
              <w:rPr>
                <w:sz w:val="22"/>
                <w:szCs w:val="18"/>
              </w:rPr>
            </w:r>
            <w:r>
              <w:rPr>
                <w:sz w:val="22"/>
                <w:szCs w:val="18"/>
              </w:rPr>
            </w:r>
          </w:p>
        </w:tc>
      </w:tr>
      <w:tr>
        <w:trPr>
          <w:trHeight w:val="380"/>
        </w:trPr>
        <w:tc>
          <w:tcPr>
            <w:gridSpan w:val="2"/>
            <w:shd w:val="clear" w:color="ffffff" w:fill="e2efd9" w:themeFill="accent6" w:themeFillTint="33"/>
            <w:tcBorders/>
            <w:tcW w:w="8969" w:type="dxa"/>
            <w:vAlign w:val="center"/>
          </w:tcPr>
          <w:p w14:paraId="76CD5923">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2. Osoby starsze</w:t>
            </w:r>
            <w:r>
              <w:rPr>
                <w:b/>
                <w:bCs/>
                <w:sz w:val="22"/>
                <w:szCs w:val="18"/>
              </w:rPr>
            </w:r>
            <w:r>
              <w:rPr>
                <w:b/>
                <w:bCs/>
                <w:sz w:val="22"/>
                <w:szCs w:val="18"/>
              </w:rPr>
            </w:r>
          </w:p>
        </w:tc>
      </w:tr>
      <w:tr>
        <w:trPr>
          <w:trHeight w:val="297"/>
        </w:trPr>
        <w:tc>
          <w:tcPr>
            <w:tcBorders/>
            <w:tcW w:w="554" w:type="dxa"/>
            <w:vAlign w:val="center"/>
          </w:tcPr>
          <w:p w14:paraId="6C44997A">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1.</w:t>
            </w:r>
            <w:r>
              <w:rPr>
                <w:sz w:val="22"/>
                <w:szCs w:val="18"/>
              </w:rPr>
            </w:r>
            <w:r>
              <w:rPr>
                <w:sz w:val="22"/>
                <w:szCs w:val="18"/>
              </w:rPr>
            </w:r>
          </w:p>
        </w:tc>
        <w:tc>
          <w:tcPr>
            <w:tcBorders/>
            <w:tcW w:w="8415" w:type="dxa"/>
            <w:vAlign w:val="center"/>
          </w:tcPr>
          <w:p w14:paraId="5113EBFC">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objętych usługami opiekuńczymi i asystenckimi</w:t>
            </w:r>
            <w:r>
              <w:rPr>
                <w:sz w:val="22"/>
                <w:szCs w:val="18"/>
              </w:rPr>
            </w:r>
            <w:r>
              <w:rPr>
                <w:sz w:val="22"/>
                <w:szCs w:val="18"/>
              </w:rPr>
            </w:r>
          </w:p>
        </w:tc>
      </w:tr>
      <w:tr>
        <w:trPr>
          <w:trHeight w:val="297"/>
        </w:trPr>
        <w:tc>
          <w:tcPr>
            <w:tcBorders/>
            <w:tcW w:w="554" w:type="dxa"/>
            <w:vAlign w:val="center"/>
          </w:tcPr>
          <w:p w14:paraId="360637D1">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2.</w:t>
            </w:r>
            <w:r>
              <w:rPr>
                <w:sz w:val="22"/>
                <w:szCs w:val="18"/>
              </w:rPr>
            </w:r>
            <w:r>
              <w:rPr>
                <w:sz w:val="22"/>
                <w:szCs w:val="18"/>
              </w:rPr>
            </w:r>
          </w:p>
        </w:tc>
        <w:tc>
          <w:tcPr>
            <w:tcBorders/>
            <w:tcW w:w="8415" w:type="dxa"/>
            <w:vAlign w:val="center"/>
          </w:tcPr>
          <w:p w14:paraId="72FB70E2">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rodzin objętych opieką wytchnieniową</w:t>
            </w:r>
            <w:r>
              <w:rPr>
                <w:sz w:val="22"/>
                <w:szCs w:val="18"/>
              </w:rPr>
            </w:r>
            <w:r>
              <w:rPr>
                <w:sz w:val="22"/>
                <w:szCs w:val="18"/>
              </w:rPr>
            </w:r>
          </w:p>
        </w:tc>
      </w:tr>
      <w:tr>
        <w:trPr>
          <w:trHeight w:val="311"/>
        </w:trPr>
        <w:tc>
          <w:tcPr>
            <w:tcBorders/>
            <w:tcW w:w="554" w:type="dxa"/>
            <w:vAlign w:val="center"/>
          </w:tcPr>
          <w:p w14:paraId="3E4B4CE5">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3.</w:t>
            </w:r>
            <w:r>
              <w:rPr>
                <w:sz w:val="22"/>
                <w:szCs w:val="18"/>
              </w:rPr>
            </w:r>
            <w:r>
              <w:rPr>
                <w:sz w:val="22"/>
                <w:szCs w:val="18"/>
              </w:rPr>
            </w:r>
          </w:p>
        </w:tc>
        <w:tc>
          <w:tcPr>
            <w:tcBorders/>
            <w:tcW w:w="8415" w:type="dxa"/>
            <w:vAlign w:val="center"/>
          </w:tcPr>
          <w:p w14:paraId="4025EC81">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dla opiekunów nieformalnych</w:t>
            </w:r>
            <w:r>
              <w:rPr>
                <w:sz w:val="22"/>
                <w:szCs w:val="18"/>
              </w:rPr>
            </w:r>
            <w:r>
              <w:rPr>
                <w:sz w:val="22"/>
                <w:szCs w:val="18"/>
              </w:rPr>
            </w:r>
          </w:p>
        </w:tc>
      </w:tr>
      <w:tr>
        <w:trPr>
          <w:trHeight w:val="272"/>
        </w:trPr>
        <w:tc>
          <w:tcPr>
            <w:tcBorders/>
            <w:tcW w:w="554" w:type="dxa"/>
            <w:vAlign w:val="center"/>
          </w:tcPr>
          <w:p w14:paraId="788D3EEF">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4.</w:t>
            </w:r>
            <w:r>
              <w:rPr>
                <w:sz w:val="22"/>
                <w:szCs w:val="18"/>
              </w:rPr>
            </w:r>
            <w:r>
              <w:rPr>
                <w:sz w:val="22"/>
                <w:szCs w:val="18"/>
              </w:rPr>
            </w:r>
          </w:p>
        </w:tc>
        <w:tc>
          <w:tcPr>
            <w:tcBorders/>
            <w:tcW w:w="8415" w:type="dxa"/>
            <w:vAlign w:val="center"/>
          </w:tcPr>
          <w:p w14:paraId="2AC78D04">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funkcjonujących dziennych form pobytu dla osób starszych</w:t>
            </w:r>
            <w:r>
              <w:rPr>
                <w:sz w:val="22"/>
                <w:szCs w:val="18"/>
              </w:rPr>
            </w:r>
            <w:r>
              <w:rPr>
                <w:sz w:val="22"/>
                <w:szCs w:val="18"/>
              </w:rPr>
            </w:r>
          </w:p>
        </w:tc>
      </w:tr>
      <w:tr>
        <w:trPr>
          <w:trHeight w:val="311"/>
        </w:trPr>
        <w:tc>
          <w:tcPr>
            <w:tcBorders/>
            <w:tcW w:w="554" w:type="dxa"/>
            <w:vAlign w:val="center"/>
          </w:tcPr>
          <w:p w14:paraId="234A374B">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5</w:t>
            </w:r>
            <w:r>
              <w:rPr>
                <w:sz w:val="22"/>
                <w:szCs w:val="18"/>
              </w:rPr>
            </w:r>
            <w:r>
              <w:rPr>
                <w:sz w:val="22"/>
                <w:szCs w:val="18"/>
              </w:rPr>
            </w:r>
          </w:p>
        </w:tc>
        <w:tc>
          <w:tcPr>
            <w:tcBorders/>
            <w:tcW w:w="8415" w:type="dxa"/>
            <w:vAlign w:val="center"/>
          </w:tcPr>
          <w:p w14:paraId="70F6DAFD">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uczestników dziennych form pobytu dla osób starszych</w:t>
            </w:r>
            <w:r>
              <w:rPr>
                <w:sz w:val="22"/>
                <w:szCs w:val="18"/>
              </w:rPr>
            </w:r>
            <w:r>
              <w:rPr>
                <w:sz w:val="22"/>
                <w:szCs w:val="18"/>
              </w:rPr>
            </w:r>
          </w:p>
        </w:tc>
      </w:tr>
      <w:tr>
        <w:trPr>
          <w:trHeight w:val="311"/>
        </w:trPr>
        <w:tc>
          <w:tcPr>
            <w:tcBorders/>
            <w:tcW w:w="554" w:type="dxa"/>
            <w:vAlign w:val="center"/>
          </w:tcPr>
          <w:p w14:paraId="5CB192BA">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6.</w:t>
            </w:r>
            <w:r>
              <w:rPr>
                <w:sz w:val="22"/>
                <w:szCs w:val="18"/>
              </w:rPr>
            </w:r>
            <w:r>
              <w:rPr>
                <w:sz w:val="22"/>
                <w:szCs w:val="18"/>
              </w:rPr>
            </w:r>
          </w:p>
        </w:tc>
        <w:tc>
          <w:tcPr>
            <w:tcBorders/>
            <w:tcW w:w="8415" w:type="dxa"/>
            <w:vAlign w:val="center"/>
          </w:tcPr>
          <w:p w14:paraId="5507F5E1">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podnoszących kwalifikacje i kompetencje na potrzeby świadczenia usług w społeczności lokalnej.</w:t>
            </w:r>
            <w:r>
              <w:rPr>
                <w:sz w:val="22"/>
                <w:szCs w:val="18"/>
              </w:rPr>
            </w:r>
            <w:r>
              <w:rPr>
                <w:sz w:val="22"/>
                <w:szCs w:val="18"/>
              </w:rPr>
            </w:r>
          </w:p>
        </w:tc>
      </w:tr>
      <w:tr>
        <w:trPr>
          <w:trHeight w:val="458"/>
        </w:trPr>
        <w:tc>
          <w:tcPr>
            <w:gridSpan w:val="2"/>
            <w:shd w:val="clear" w:color="ffffff" w:fill="e2efd9" w:themeFill="accent6" w:themeFillTint="33"/>
            <w:tcBorders/>
            <w:tcW w:w="8969" w:type="dxa"/>
            <w:vAlign w:val="center"/>
          </w:tcPr>
          <w:p w14:paraId="658F6E22">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3. Osoby z niepełnosprawnościami</w:t>
            </w:r>
            <w:r>
              <w:rPr>
                <w:b/>
                <w:bCs/>
                <w:sz w:val="22"/>
                <w:szCs w:val="18"/>
              </w:rPr>
            </w:r>
            <w:r>
              <w:rPr>
                <w:b/>
                <w:bCs/>
                <w:sz w:val="22"/>
                <w:szCs w:val="18"/>
              </w:rPr>
            </w:r>
          </w:p>
        </w:tc>
      </w:tr>
      <w:tr>
        <w:trPr>
          <w:trHeight w:val="223"/>
        </w:trPr>
        <w:tc>
          <w:tcPr>
            <w:tcBorders/>
            <w:tcW w:w="554" w:type="dxa"/>
            <w:vAlign w:val="center"/>
          </w:tcPr>
          <w:p w14:paraId="52C0CABB">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1.</w:t>
            </w:r>
            <w:r>
              <w:rPr>
                <w:sz w:val="22"/>
                <w:szCs w:val="18"/>
              </w:rPr>
            </w:r>
            <w:r>
              <w:rPr>
                <w:sz w:val="22"/>
                <w:szCs w:val="18"/>
              </w:rPr>
            </w:r>
          </w:p>
        </w:tc>
        <w:tc>
          <w:tcPr>
            <w:tcBorders/>
            <w:tcW w:w="8415" w:type="dxa"/>
            <w:vAlign w:val="center"/>
          </w:tcPr>
          <w:p w14:paraId="369762BC">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objętych usługami opiekuńczymi.</w:t>
            </w:r>
            <w:r>
              <w:rPr>
                <w:sz w:val="22"/>
                <w:szCs w:val="18"/>
              </w:rPr>
            </w:r>
            <w:r>
              <w:rPr>
                <w:sz w:val="22"/>
                <w:szCs w:val="18"/>
              </w:rPr>
            </w:r>
          </w:p>
        </w:tc>
      </w:tr>
      <w:tr>
        <w:trPr>
          <w:trHeight w:val="256"/>
        </w:trPr>
        <w:tc>
          <w:tcPr>
            <w:tcBorders/>
            <w:tcW w:w="554" w:type="dxa"/>
            <w:vAlign w:val="center"/>
          </w:tcPr>
          <w:p w14:paraId="3F3862C6">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2.</w:t>
            </w:r>
            <w:r>
              <w:rPr>
                <w:sz w:val="22"/>
                <w:szCs w:val="18"/>
              </w:rPr>
            </w:r>
            <w:r>
              <w:rPr>
                <w:sz w:val="22"/>
                <w:szCs w:val="18"/>
              </w:rPr>
            </w:r>
          </w:p>
        </w:tc>
        <w:tc>
          <w:tcPr>
            <w:tcBorders/>
            <w:tcW w:w="8415" w:type="dxa"/>
            <w:vAlign w:val="center"/>
          </w:tcPr>
          <w:p w14:paraId="763DB609">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objętych usługami asystenta osobistego osoby z niepełnosprawnością</w:t>
            </w:r>
            <w:r>
              <w:rPr>
                <w:sz w:val="22"/>
                <w:szCs w:val="18"/>
              </w:rPr>
            </w:r>
            <w:r>
              <w:rPr>
                <w:sz w:val="22"/>
                <w:szCs w:val="18"/>
              </w:rPr>
            </w:r>
          </w:p>
        </w:tc>
      </w:tr>
      <w:tr>
        <w:trPr>
          <w:trHeight w:val="247"/>
        </w:trPr>
        <w:tc>
          <w:tcPr>
            <w:tcBorders/>
            <w:tcW w:w="554" w:type="dxa"/>
            <w:vAlign w:val="center"/>
          </w:tcPr>
          <w:p w14:paraId="6576E697">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3.</w:t>
            </w:r>
            <w:r>
              <w:rPr>
                <w:sz w:val="22"/>
                <w:szCs w:val="18"/>
              </w:rPr>
            </w:r>
            <w:r>
              <w:rPr>
                <w:sz w:val="22"/>
                <w:szCs w:val="18"/>
              </w:rPr>
            </w:r>
          </w:p>
        </w:tc>
        <w:tc>
          <w:tcPr>
            <w:tcBorders/>
            <w:tcW w:w="8415" w:type="dxa"/>
            <w:vAlign w:val="center"/>
          </w:tcPr>
          <w:p w14:paraId="4CCCFF71">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rodzin objętych opieką wytchnieniową</w:t>
            </w:r>
            <w:r>
              <w:rPr>
                <w:sz w:val="22"/>
                <w:szCs w:val="18"/>
              </w:rPr>
            </w:r>
            <w:r>
              <w:rPr>
                <w:sz w:val="22"/>
                <w:szCs w:val="18"/>
              </w:rPr>
            </w:r>
          </w:p>
        </w:tc>
      </w:tr>
      <w:tr>
        <w:trPr>
          <w:trHeight w:val="314"/>
        </w:trPr>
        <w:tc>
          <w:tcPr>
            <w:tcBorders/>
            <w:tcW w:w="554" w:type="dxa"/>
            <w:vAlign w:val="center"/>
          </w:tcPr>
          <w:p w14:paraId="0516824E">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4.</w:t>
            </w:r>
            <w:r>
              <w:rPr>
                <w:sz w:val="22"/>
                <w:szCs w:val="18"/>
              </w:rPr>
            </w:r>
            <w:r>
              <w:rPr>
                <w:sz w:val="22"/>
                <w:szCs w:val="18"/>
              </w:rPr>
            </w:r>
          </w:p>
        </w:tc>
        <w:tc>
          <w:tcPr>
            <w:tcBorders/>
            <w:tcW w:w="8415" w:type="dxa"/>
            <w:vAlign w:val="center"/>
          </w:tcPr>
          <w:p w14:paraId="2D5BE0EA">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dla opiekunów nieformalnych</w:t>
            </w:r>
            <w:r>
              <w:rPr>
                <w:sz w:val="22"/>
                <w:szCs w:val="18"/>
              </w:rPr>
            </w:r>
            <w:r>
              <w:rPr>
                <w:sz w:val="22"/>
                <w:szCs w:val="18"/>
              </w:rPr>
            </w:r>
          </w:p>
        </w:tc>
      </w:tr>
      <w:tr>
        <w:trPr>
          <w:trHeight w:val="210"/>
        </w:trPr>
        <w:tc>
          <w:tcPr>
            <w:tcBorders/>
            <w:tcW w:w="554" w:type="dxa"/>
            <w:vAlign w:val="center"/>
          </w:tcPr>
          <w:p w14:paraId="4E43E115">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5.</w:t>
            </w:r>
            <w:r>
              <w:rPr>
                <w:sz w:val="22"/>
                <w:szCs w:val="18"/>
              </w:rPr>
            </w:r>
            <w:r>
              <w:rPr>
                <w:sz w:val="22"/>
                <w:szCs w:val="18"/>
              </w:rPr>
            </w:r>
          </w:p>
        </w:tc>
        <w:tc>
          <w:tcPr>
            <w:tcBorders/>
            <w:tcW w:w="8415" w:type="dxa"/>
            <w:vAlign w:val="center"/>
          </w:tcPr>
          <w:p w14:paraId="7914F1B9">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podnoszących kwalifikacje i kompetencje na potrzeby świadczenia usług w społeczności lokalnej.</w:t>
            </w:r>
            <w:r>
              <w:rPr>
                <w:sz w:val="22"/>
                <w:szCs w:val="18"/>
              </w:rPr>
            </w:r>
            <w:r>
              <w:rPr>
                <w:sz w:val="22"/>
                <w:szCs w:val="18"/>
              </w:rPr>
            </w:r>
          </w:p>
        </w:tc>
      </w:tr>
      <w:tr>
        <w:trPr>
          <w:trHeight w:val="417"/>
        </w:trPr>
        <w:tc>
          <w:tcPr>
            <w:gridSpan w:val="2"/>
            <w:shd w:val="clear" w:color="ffffff" w:fill="e2efd9" w:themeFill="accent6" w:themeFillTint="33"/>
            <w:tcBorders/>
            <w:tcW w:w="8969" w:type="dxa"/>
            <w:vAlign w:val="center"/>
          </w:tcPr>
          <w:p w14:paraId="17BFAED7">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4. Osoby z zaburzeniami psychicznymi oraz w kryzysie zdrowia psychicznego</w:t>
            </w:r>
            <w:r>
              <w:rPr>
                <w:b/>
                <w:bCs/>
                <w:sz w:val="22"/>
                <w:szCs w:val="18"/>
              </w:rPr>
            </w:r>
            <w:r>
              <w:rPr>
                <w:b/>
                <w:bCs/>
                <w:sz w:val="22"/>
                <w:szCs w:val="18"/>
              </w:rPr>
            </w:r>
          </w:p>
        </w:tc>
      </w:tr>
      <w:tr>
        <w:trPr>
          <w:trHeight w:val="614"/>
        </w:trPr>
        <w:tc>
          <w:tcPr>
            <w:tcBorders/>
            <w:tcW w:w="554" w:type="dxa"/>
            <w:vAlign w:val="center"/>
          </w:tcPr>
          <w:p w14:paraId="1B943EB2">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1.</w:t>
            </w:r>
            <w:r>
              <w:rPr>
                <w:sz w:val="22"/>
                <w:szCs w:val="18"/>
              </w:rPr>
            </w:r>
            <w:r>
              <w:rPr>
                <w:sz w:val="22"/>
                <w:szCs w:val="18"/>
              </w:rPr>
            </w:r>
          </w:p>
        </w:tc>
        <w:tc>
          <w:tcPr>
            <w:tcBorders/>
            <w:tcW w:w="8415" w:type="dxa"/>
            <w:vAlign w:val="center"/>
          </w:tcPr>
          <w:p w14:paraId="24720608">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z zaburzeniami psychicznymi oraz w kryzysie zdrowia psychicznego, które skorzystały z usług społecznych.</w:t>
            </w:r>
            <w:r>
              <w:rPr>
                <w:sz w:val="22"/>
                <w:szCs w:val="18"/>
              </w:rPr>
            </w:r>
            <w:r>
              <w:rPr>
                <w:sz w:val="22"/>
                <w:szCs w:val="18"/>
              </w:rPr>
            </w:r>
          </w:p>
        </w:tc>
      </w:tr>
      <w:tr>
        <w:trPr>
          <w:trHeight w:val="602"/>
        </w:trPr>
        <w:tc>
          <w:tcPr>
            <w:tcBorders/>
            <w:tcW w:w="554" w:type="dxa"/>
            <w:vAlign w:val="center"/>
          </w:tcPr>
          <w:p w14:paraId="1E45EA7D">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2.</w:t>
            </w:r>
            <w:r>
              <w:rPr>
                <w:sz w:val="22"/>
                <w:szCs w:val="18"/>
              </w:rPr>
            </w:r>
            <w:r>
              <w:rPr>
                <w:sz w:val="22"/>
                <w:szCs w:val="18"/>
              </w:rPr>
            </w:r>
          </w:p>
        </w:tc>
        <w:tc>
          <w:tcPr>
            <w:tcBorders/>
            <w:tcW w:w="8415" w:type="dxa"/>
            <w:vAlign w:val="center"/>
          </w:tcPr>
          <w:p w14:paraId="5F63F879">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podnoszących kwalifikacje i kompetencje na potrzeby świadczenia usług w społeczności lokalnej.</w:t>
            </w:r>
            <w:r>
              <w:rPr>
                <w:sz w:val="22"/>
                <w:szCs w:val="18"/>
              </w:rPr>
            </w:r>
            <w:r>
              <w:rPr>
                <w:sz w:val="22"/>
                <w:szCs w:val="18"/>
              </w:rPr>
            </w:r>
          </w:p>
        </w:tc>
      </w:tr>
      <w:tr>
        <w:trPr>
          <w:trHeight w:val="455"/>
        </w:trPr>
        <w:tc>
          <w:tcPr>
            <w:gridSpan w:val="2"/>
            <w:shd w:val="clear" w:color="ffffff" w:fill="e2efd9" w:themeFill="accent6" w:themeFillTint="33"/>
            <w:tcBorders/>
            <w:tcW w:w="8969" w:type="dxa"/>
            <w:vAlign w:val="center"/>
          </w:tcPr>
          <w:p w14:paraId="59706711">
            <w:pPr>
              <w:pStyle w:val="845"/>
              <w:widowControl w:val="true"/>
              <w:pBdr/>
              <w:spacing w:after="0" w:before="0" w:line="240" w:lineRule="auto"/>
              <w:ind/>
              <w:jc w:val="center"/>
              <w:rPr>
                <w:b/>
                <w:bCs/>
                <w:sz w:val="22"/>
                <w:szCs w:val="18"/>
              </w:rPr>
            </w:pPr>
            <w:r>
              <w:rPr>
                <w:rFonts w:eastAsia="Calibri" w:cs="Times New Roman"/>
                <w:b/>
                <w:bCs/>
                <w:sz w:val="22"/>
                <w:szCs w:val="18"/>
                <w:lang w:val="pl-PL" w:eastAsia="pl-PL" w:bidi="ar-SA"/>
              </w:rPr>
              <w:t xml:space="preserve">5. Osoby w kryzysie bezdomności</w:t>
            </w:r>
            <w:r>
              <w:rPr>
                <w:b/>
                <w:bCs/>
                <w:sz w:val="22"/>
                <w:szCs w:val="18"/>
              </w:rPr>
            </w:r>
            <w:r>
              <w:rPr>
                <w:b/>
                <w:bCs/>
                <w:sz w:val="22"/>
                <w:szCs w:val="18"/>
              </w:rPr>
            </w:r>
          </w:p>
        </w:tc>
      </w:tr>
      <w:tr>
        <w:trPr>
          <w:trHeight w:val="385"/>
        </w:trPr>
        <w:tc>
          <w:tcPr>
            <w:tcBorders/>
            <w:tcW w:w="554" w:type="dxa"/>
            <w:vAlign w:val="center"/>
          </w:tcPr>
          <w:p w14:paraId="78D245E1">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1.</w:t>
            </w:r>
            <w:r>
              <w:rPr>
                <w:sz w:val="22"/>
                <w:szCs w:val="18"/>
              </w:rPr>
            </w:r>
            <w:r>
              <w:rPr>
                <w:sz w:val="22"/>
                <w:szCs w:val="18"/>
              </w:rPr>
            </w:r>
          </w:p>
        </w:tc>
        <w:tc>
          <w:tcPr>
            <w:tcBorders/>
            <w:tcW w:w="8415" w:type="dxa"/>
            <w:vAlign w:val="center"/>
          </w:tcPr>
          <w:p w14:paraId="0DB77372">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w kryzysie bezdomności, którym udzielono schronienia</w:t>
            </w:r>
            <w:r>
              <w:rPr>
                <w:sz w:val="22"/>
                <w:szCs w:val="18"/>
              </w:rPr>
            </w:r>
            <w:r>
              <w:rPr>
                <w:sz w:val="22"/>
                <w:szCs w:val="18"/>
              </w:rPr>
            </w:r>
          </w:p>
        </w:tc>
      </w:tr>
      <w:tr>
        <w:trPr>
          <w:trHeight w:val="377"/>
        </w:trPr>
        <w:tc>
          <w:tcPr>
            <w:tcBorders/>
            <w:tcW w:w="554" w:type="dxa"/>
            <w:vAlign w:val="center"/>
          </w:tcPr>
          <w:p w14:paraId="49448A36">
            <w:pPr>
              <w:pStyle w:val="845"/>
              <w:widowControl w:val="true"/>
              <w:pBdr/>
              <w:spacing w:after="0" w:before="0" w:line="240" w:lineRule="auto"/>
              <w:ind/>
              <w:jc w:val="center"/>
              <w:rPr>
                <w:sz w:val="22"/>
                <w:szCs w:val="18"/>
              </w:rPr>
            </w:pPr>
            <w:r>
              <w:rPr>
                <w:rFonts w:eastAsia="Calibri" w:cs="Times New Roman"/>
                <w:sz w:val="22"/>
                <w:szCs w:val="18"/>
                <w:lang w:val="pl-PL" w:eastAsia="pl-PL" w:bidi="ar-SA"/>
              </w:rPr>
              <w:t xml:space="preserve">2.</w:t>
            </w:r>
            <w:r>
              <w:rPr>
                <w:sz w:val="22"/>
                <w:szCs w:val="18"/>
              </w:rPr>
            </w:r>
            <w:r>
              <w:rPr>
                <w:sz w:val="22"/>
                <w:szCs w:val="18"/>
              </w:rPr>
            </w:r>
          </w:p>
        </w:tc>
        <w:tc>
          <w:tcPr>
            <w:tcBorders/>
            <w:tcW w:w="8415" w:type="dxa"/>
            <w:vAlign w:val="center"/>
          </w:tcPr>
          <w:p w14:paraId="35D79496">
            <w:pPr>
              <w:pStyle w:val="845"/>
              <w:widowControl w:val="true"/>
              <w:pBdr/>
              <w:spacing w:after="0" w:before="0" w:line="240" w:lineRule="auto"/>
              <w:ind/>
              <w:jc w:val="left"/>
              <w:rPr>
                <w:sz w:val="22"/>
                <w:szCs w:val="18"/>
              </w:rPr>
            </w:pPr>
            <w:r>
              <w:rPr>
                <w:rFonts w:eastAsia="Calibri" w:cs="Times New Roman"/>
                <w:sz w:val="22"/>
                <w:szCs w:val="18"/>
                <w:lang w:val="pl-PL" w:eastAsia="pl-PL" w:bidi="ar-SA"/>
              </w:rPr>
              <w:t xml:space="preserve">Liczba osób uczestniczących w szkoleniach podnoszących kwalifikacje i kompetencje na potrzeby świadczenia usług w społeczności lokalnej.</w:t>
            </w:r>
            <w:r>
              <w:rPr>
                <w:sz w:val="22"/>
                <w:szCs w:val="18"/>
              </w:rPr>
            </w:r>
            <w:r>
              <w:rPr>
                <w:sz w:val="22"/>
                <w:szCs w:val="18"/>
              </w:rPr>
            </w:r>
          </w:p>
        </w:tc>
      </w:tr>
    </w:tbl>
    <w:p w14:paraId="73B2E1E3">
      <w:pPr>
        <w:pStyle w:val="906"/>
        <w:pBdr/>
        <w:spacing w:after="0" w:before="0" w:line="240" w:lineRule="auto"/>
        <w:ind/>
        <w:rPr>
          <w:rFonts w:ascii="Times New Roman" w:hAnsi="Times New Roman" w:eastAsia="Times New Roman" w:cs="Times New Roman"/>
          <w:color w:val="ff0000"/>
          <w:sz w:val="24"/>
          <w:szCs w:val="24"/>
          <w:lang w:val="pl-PL" w:eastAsia="zh-CN" w:bidi="ar-SA"/>
        </w:rPr>
      </w:pPr>
      <w:r>
        <w:rPr>
          <w:rFonts w:ascii="Times New Roman" w:hAnsi="Times New Roman" w:eastAsia="Times New Roman" w:cs="Times New Roman"/>
          <w:color w:val="ff0000"/>
          <w:sz w:val="24"/>
          <w:szCs w:val="24"/>
          <w:lang w:val="pl-PL" w:eastAsia="zh-CN" w:bidi="ar-SA"/>
        </w:rPr>
        <w:t xml:space="preserve">                                                                                            </w:t>
      </w:r>
      <w:r>
        <w:rPr>
          <w:rFonts w:ascii="Times New Roman" w:hAnsi="Times New Roman" w:eastAsia="Times New Roman" w:cs="Times New Roman"/>
          <w:color w:val="ff0000"/>
          <w:sz w:val="24"/>
          <w:szCs w:val="24"/>
          <w:lang w:val="pl-PL" w:eastAsia="zh-CN" w:bidi="ar-SA"/>
        </w:rPr>
      </w:r>
      <w:r>
        <w:rPr>
          <w:rFonts w:ascii="Times New Roman" w:hAnsi="Times New Roman" w:eastAsia="Times New Roman" w:cs="Times New Roman"/>
          <w:color w:val="ff0000"/>
          <w:sz w:val="24"/>
          <w:szCs w:val="24"/>
          <w:lang w:val="pl-PL" w:eastAsia="zh-CN" w:bidi="ar-SA"/>
        </w:rPr>
      </w:r>
    </w:p>
    <w:p w14:paraId="5EEF8131">
      <w:pPr>
        <w:pStyle w:val="906"/>
        <w:pBdr/>
        <w:spacing w:after="0" w:before="0" w:line="240" w:lineRule="auto"/>
        <w:ind/>
        <w:rPr>
          <w:rFonts w:ascii="Times New Roman" w:hAnsi="Times New Roman" w:eastAsia="Times New Roman" w:cs="Times New Roman"/>
          <w:color w:val="ff0000"/>
          <w:sz w:val="24"/>
          <w:szCs w:val="24"/>
          <w:highlight w:val="none"/>
          <w:lang w:val="pl-PL" w:eastAsia="zh-CN" w:bidi="ar-SA"/>
        </w:rPr>
      </w:pPr>
      <w:r>
        <w:rPr>
          <w:rFonts w:ascii="Times New Roman" w:hAnsi="Times New Roman" w:eastAsia="Times New Roman" w:cs="Times New Roman"/>
          <w:color w:val="ff0000"/>
          <w:sz w:val="24"/>
          <w:szCs w:val="24"/>
          <w:lang w:val="pl-PL" w:eastAsia="zh-CN" w:bidi="ar-SA"/>
        </w:rPr>
        <w:t xml:space="preserve">                                                                                           </w:t>
      </w:r>
      <w:r>
        <w:rPr>
          <w:rFonts w:ascii="Times New Roman" w:hAnsi="Times New Roman" w:cs="Times New Roman"/>
          <w:color w:val="000000"/>
          <w:sz w:val="24"/>
          <w:szCs w:val="24"/>
          <w:highlight w:val="none"/>
          <w:lang w:val="pl-PL" w:bidi="ar-SA"/>
        </w:rPr>
      </w:r>
    </w:p>
    <w:p w14:paraId="72075B85">
      <w:pPr>
        <w:pStyle w:val="906"/>
        <w:pBdr/>
        <w:spacing w:after="0" w:before="0" w:line="240" w:lineRule="auto"/>
        <w:ind/>
        <w:rPr>
          <w:rFonts w:ascii="Times New Roman" w:hAnsi="Times New Roman" w:cs="Times New Roman"/>
          <w:color w:val="000000"/>
          <w:sz w:val="24"/>
          <w:szCs w:val="24"/>
          <w:highlight w:val="none"/>
          <w:lang w:val="pl-PL" w:bidi="ar-SA"/>
        </w:rPr>
      </w:pPr>
      <w:r>
        <w:rPr>
          <w:rFonts w:ascii="Times New Roman" w:hAnsi="Times New Roman" w:eastAsia="Times New Roman" w:cs="Times New Roman"/>
          <w:color w:val="ff0000"/>
          <w:sz w:val="24"/>
          <w:szCs w:val="24"/>
          <w:highlight w:val="none"/>
          <w:lang w:val="pl-PL" w:eastAsia="zh-CN" w:bidi="pl-PL"/>
        </w:rPr>
      </w:r>
      <w:r>
        <w:rPr>
          <w:rFonts w:ascii="Times New Roman" w:hAnsi="Times New Roman" w:eastAsia="Times New Roman" w:cs="Times New Roman"/>
          <w:color w:val="ff0000"/>
          <w:sz w:val="24"/>
          <w:szCs w:val="24"/>
          <w:highlight w:val="none"/>
          <w:lang w:val="pl-PL" w:eastAsia="zh-CN" w:bidi="pl-PL"/>
        </w:rPr>
      </w:r>
      <w:r>
        <w:rPr>
          <w:rFonts w:ascii="Times New Roman" w:hAnsi="Times New Roman" w:eastAsia="Times New Roman" w:cs="Times New Roman"/>
          <w:color w:val="ff0000"/>
          <w:sz w:val="24"/>
          <w:szCs w:val="24"/>
          <w:highlight w:val="none"/>
          <w:lang w:val="pl-PL" w:eastAsia="zh-CN" w:bidi="ar-SA"/>
        </w:rPr>
      </w:r>
    </w:p>
    <w:p w14:paraId="42CE951D">
      <w:pPr>
        <w:pStyle w:val="906"/>
        <w:widowControl w:val="true"/>
        <w:pBdr/>
        <w:tabs>
          <w:tab w:val="clear" w:leader="none" w:pos="708"/>
          <w:tab w:val="left" w:leader="none" w:pos="5550"/>
        </w:tabs>
        <w:bidi w:val="false"/>
        <w:spacing w:after="160" w:afterAutospacing="0" w:before="0" w:beforeAutospacing="0" w:line="252" w:lineRule="auto"/>
        <w:ind w:right="1474" w:firstLine="0" w:left="0"/>
        <w:jc w:val="both"/>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r>
      <w:r>
        <w:rPr>
          <w:rFonts w:ascii="Times New Roman" w:hAnsi="Times New Roman" w:eastAsia="Times New Roman" w:cs="Times New Roman"/>
          <w:color w:val="000000"/>
          <w:sz w:val="24"/>
          <w:szCs w:val="24"/>
          <w:lang w:eastAsia="zh-CN"/>
        </w:rPr>
      </w:r>
      <w:r>
        <w:rPr>
          <w:rFonts w:ascii="Times New Roman" w:hAnsi="Times New Roman" w:eastAsia="Times New Roman" w:cs="Times New Roman"/>
          <w:color w:val="000000"/>
          <w:sz w:val="24"/>
          <w:szCs w:val="24"/>
          <w:lang w:eastAsia="zh-CN"/>
        </w:rPr>
      </w:r>
    </w:p>
    <w:p w14:paraId="52F55561">
      <w:pPr>
        <w:pStyle w:val="906"/>
        <w:widowControl w:val="true"/>
        <w:pBdr/>
        <w:tabs>
          <w:tab w:val="clear" w:leader="none" w:pos="708"/>
          <w:tab w:val="left" w:leader="none" w:pos="5550"/>
        </w:tabs>
        <w:bidi w:val="false"/>
        <w:spacing w:after="160" w:afterAutospacing="0" w:before="0" w:beforeAutospacing="0" w:line="252" w:lineRule="auto"/>
        <w:ind w:right="1474" w:firstLine="0" w:left="0"/>
        <w:jc w:val="both"/>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highlight w:val="none"/>
          <w:lang w:eastAsia="zh-CN"/>
        </w:rPr>
      </w:r>
      <w:r>
        <w:rPr>
          <w:rFonts w:ascii="Times New Roman" w:hAnsi="Times New Roman" w:eastAsia="Times New Roman" w:cs="Times New Roman"/>
          <w:color w:val="000000"/>
          <w:sz w:val="24"/>
          <w:szCs w:val="24"/>
          <w:lang w:eastAsia="zh-CN"/>
        </w:rPr>
      </w:r>
      <w:r>
        <w:rPr>
          <w:rFonts w:ascii="Times New Roman" w:hAnsi="Times New Roman" w:eastAsia="Times New Roman" w:cs="Times New Roman"/>
          <w:color w:val="000000"/>
          <w:sz w:val="24"/>
          <w:szCs w:val="24"/>
          <w:lang w:eastAsia="zh-CN"/>
        </w:rPr>
      </w:r>
    </w:p>
    <w:sectPr>
      <w:footnotePr/>
      <w:endnotePr/>
      <w:type w:val="nextPage"/>
      <w:pgSz w:h="16838" w:orient="portrait" w:w="11906"/>
      <w:pgMar w:top="270" w:right="1417" w:bottom="568" w:left="1417" w:header="0" w:footer="0"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20B0502040504020204"/>
  </w:font>
  <w:font w:name="Courier New">
    <w:panose1 w:val="02070309020205020404"/>
  </w:font>
  <w:font w:name="Symbol">
    <w:panose1 w:val="05050102010706020507"/>
  </w:font>
  <w:font w:name="Wingdings">
    <w:panose1 w:val="05000000000000000000"/>
  </w:font>
  <w:font w:name="Liberation Sans">
    <w:panose1 w:val="020B0604020202020204"/>
  </w:font>
  <w:font w:name="Calibri">
    <w:panose1 w:val="020F0502020204030204"/>
  </w:font>
  <w:font w:name="Arial">
    <w:panose1 w:val="020B0604020202020204"/>
  </w:font>
  <w:font w:name="Calibri Light">
    <w:panose1 w:val="020F0302020204030204"/>
  </w:font>
  <w:font w:name="Microsoft YaHei">
    <w:panose1 w:val="020B0503020204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 w:id="2">
    <w:p w14:paraId="65E49652">
      <w:pPr>
        <w:pStyle w:val="913"/>
        <w:pBdr/>
        <w:spacing/>
        <w:ind/>
        <w:rPr/>
      </w:pPr>
      <w:r>
        <w:rPr>
          <w:rStyle w:val="876"/>
        </w:rPr>
        <w:footnoteRef/>
      </w:r>
      <w:r>
        <w:t xml:space="preserve"> </w:t>
      </w:r>
      <w:r>
        <w:rPr>
          <w:bCs/>
          <w:i/>
          <w:iCs/>
          <w:lang w:bidi="pl-PL"/>
        </w:rPr>
        <w:t xml:space="preserve">Strategia Rozwoju Usług Społecznych, polityka publiczna do roku 2030 (z perspektywą do 2035 r</w:t>
      </w:r>
      <w:r>
        <w:rPr>
          <w:bCs/>
          <w:lang w:bidi="pl-PL"/>
        </w:rPr>
        <w:t xml:space="preserve">.), str. 96.</w:t>
      </w:r>
      <w:r/>
    </w:p>
  </w:footnote>
  <w:footnote w:id="3">
    <w:p w14:paraId="6210D150">
      <w:pPr>
        <w:pStyle w:val="913"/>
        <w:pBdr/>
        <w:spacing/>
        <w:ind/>
        <w:rPr/>
      </w:pPr>
      <w:r>
        <w:rPr>
          <w:rStyle w:val="876"/>
        </w:rPr>
        <w:footnoteRef/>
      </w:r>
      <w:r>
        <w:t xml:space="preserve"> </w:t>
      </w:r>
      <w:r>
        <w:t xml:space="preserve">Brak danych za 2025 rok.</w:t>
      </w:r>
      <w:r/>
    </w:p>
  </w:footnote>
  <w:footnote w:id="4">
    <w:p w14:paraId="21B10BB2">
      <w:pPr>
        <w:pStyle w:val="913"/>
        <w:pBdr/>
        <w:spacing/>
        <w:ind/>
        <w:rPr/>
      </w:pPr>
      <w:r>
        <w:rPr>
          <w:rStyle w:val="876"/>
        </w:rPr>
        <w:footnoteRef/>
      </w:r>
      <w:r>
        <w:t xml:space="preserve"> </w:t>
      </w:r>
      <w:r>
        <w:t xml:space="preserve">https://www.doz.pl/czytelnia/a12239-Zrozumiec_seniora_-_potrzeby_i_emocje_osob_starszych</w:t>
      </w:r>
      <w:r/>
    </w:p>
  </w:footnote>
  <w:footnote w:id="5">
    <w:p w14:paraId="5B3ECFC1">
      <w:pPr>
        <w:pStyle w:val="913"/>
        <w:pBdr/>
        <w:spacing/>
        <w:ind/>
        <w:rPr/>
      </w:pPr>
      <w:r>
        <w:rPr>
          <w:rStyle w:val="876"/>
        </w:rPr>
        <w:footnoteRef/>
      </w:r>
      <w:r>
        <w:t xml:space="preserve"> </w:t>
      </w:r>
      <w:r>
        <w:t xml:space="preserve">https://gemini.pl/poradnik/zdrowie-psychiczne/choroby-i-zaburzenia-psychiczne/</w:t>
      </w:r>
      <w:r/>
    </w:p>
  </w:footnote>
  <w:footnote w:id="6">
    <w:p w14:paraId="615EFAD4">
      <w:pPr>
        <w:pStyle w:val="913"/>
        <w:pBdr/>
        <w:spacing/>
        <w:ind/>
        <w:rPr/>
      </w:pPr>
      <w:r>
        <w:rPr>
          <w:rStyle w:val="876"/>
        </w:rPr>
        <w:footnoteRef/>
      </w:r>
      <w:r>
        <w:t xml:space="preserve"> </w:t>
      </w:r>
      <w:r>
        <w:t xml:space="preserve">Sytuacja zdrowotna ludności Polski i jej uwarunkowania 2022, red. B. Wojtyniak, P. Goryński, Warszawa 2022.</w:t>
      </w:r>
      <w:r/>
    </w:p>
  </w:footnote>
  <w:footnote w:id="7">
    <w:p w14:paraId="424DBE6D">
      <w:pPr>
        <w:pStyle w:val="913"/>
        <w:pBdr/>
        <w:spacing/>
        <w:ind/>
        <w:rPr/>
      </w:pPr>
      <w:r>
        <w:rPr>
          <w:rStyle w:val="876"/>
        </w:rPr>
        <w:footnoteRef/>
      </w:r>
      <w:r>
        <w:t xml:space="preserve">Zob. </w:t>
      </w:r>
      <w:r>
        <w:rPr>
          <w:i/>
        </w:rPr>
        <w:t xml:space="preserve">Współczesne teorie i praktyka profilaktyki uzależnień chemicznych i niechemicznych</w:t>
      </w:r>
      <w:r>
        <w:t xml:space="preserve">, red. M. Jędrzejko, Warszawa 2009, s. 40; http://www.kbpn.gov.pl/portal?id=112184. </w:t>
      </w:r>
      <w:r/>
    </w:p>
  </w:footnote>
  <w:footnote w:id="8">
    <w:p w14:paraId="30FF64BE">
      <w:pPr>
        <w:pStyle w:val="913"/>
        <w:pBdr/>
        <w:spacing/>
        <w:ind/>
        <w:rPr/>
      </w:pPr>
      <w:r>
        <w:rPr>
          <w:rStyle w:val="876"/>
        </w:rPr>
        <w:footnoteRef/>
      </w:r>
      <w:r>
        <w:t xml:space="preserve"> </w:t>
      </w:r>
      <w:r>
        <w:t xml:space="preserve">https://encyklopedia.pwn.pl/haslo/bezdomnosc;3876751.html</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1">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2">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3">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4">
    <w:lvl w:ilvl="0">
      <w:isLgl w:val="true"/>
      <w:lvlJc w:val="left"/>
      <w:lvlText w:val="%1)"/>
      <w:numFmt w:val="lowerLetter"/>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5">
    <w:lvl w:ilvl="0">
      <w:isLgl w:val="true"/>
      <w:lvlJc w:val="left"/>
      <w:lvlText w:val=""/>
      <w:numFmt w:val="bullet"/>
      <w:pPr>
        <w:pBdr/>
        <w:tabs>
          <w:tab w:val="num" w:leader="none" w:pos="720"/>
        </w:tabs>
        <w:spacing/>
        <w:ind w:hanging="360" w:left="720"/>
      </w:pPr>
      <w:rPr>
        <w:rFonts w:hint="default" w:ascii="Symbol" w:hAnsi="Symbol" w:cs="Symbol"/>
        <w:sz w:val="20"/>
      </w:rPr>
      <w:start w:val="1"/>
      <w:suff w:val="tab"/>
    </w:lvl>
    <w:lvl w:ilvl="1">
      <w:isLgl w:val="true"/>
      <w:lvlJc w:val="left"/>
      <w:lvlText w:val=""/>
      <w:numFmt w:val="bullet"/>
      <w:pPr>
        <w:pBdr/>
        <w:tabs>
          <w:tab w:val="num" w:leader="none" w:pos="1440"/>
        </w:tabs>
        <w:spacing/>
        <w:ind w:hanging="360" w:left="1440"/>
      </w:pPr>
      <w:rPr>
        <w:rFonts w:hint="default" w:ascii="Symbol" w:hAnsi="Symbol" w:cs="Symbol"/>
        <w:sz w:val="20"/>
      </w:rPr>
      <w:start w:val="1"/>
      <w:suff w:val="tab"/>
    </w:lvl>
    <w:lvl w:ilvl="2">
      <w:isLgl w:val="true"/>
      <w:lvlJc w:val="left"/>
      <w:lvlText w:val=""/>
      <w:numFmt w:val="bullet"/>
      <w:pPr>
        <w:pBdr/>
        <w:tabs>
          <w:tab w:val="num" w:leader="none" w:pos="2160"/>
        </w:tabs>
        <w:spacing/>
        <w:ind w:hanging="360" w:left="2160"/>
      </w:pPr>
      <w:rPr>
        <w:rFonts w:hint="default" w:ascii="Symbol" w:hAnsi="Symbol" w:cs="Symbol"/>
        <w:sz w:val="20"/>
      </w:rPr>
      <w:start w:val="1"/>
      <w:suff w:val="tab"/>
    </w:lvl>
    <w:lvl w:ilvl="3">
      <w:isLgl w:val="true"/>
      <w:lvlJc w:val="left"/>
      <w:lvlText w:val=""/>
      <w:numFmt w:val="bullet"/>
      <w:pPr>
        <w:pBdr/>
        <w:tabs>
          <w:tab w:val="num" w:leader="none" w:pos="2880"/>
        </w:tabs>
        <w:spacing/>
        <w:ind w:hanging="360" w:left="2880"/>
      </w:pPr>
      <w:rPr>
        <w:rFonts w:hint="default" w:ascii="Symbol" w:hAnsi="Symbol" w:cs="Symbol"/>
        <w:sz w:val="20"/>
      </w:rPr>
      <w:start w:val="1"/>
      <w:suff w:val="tab"/>
    </w:lvl>
    <w:lvl w:ilvl="4">
      <w:isLgl w:val="true"/>
      <w:lvlJc w:val="left"/>
      <w:lvlText w:val=""/>
      <w:numFmt w:val="bullet"/>
      <w:pPr>
        <w:pBdr/>
        <w:tabs>
          <w:tab w:val="num" w:leader="none" w:pos="3600"/>
        </w:tabs>
        <w:spacing/>
        <w:ind w:hanging="360" w:left="3600"/>
      </w:pPr>
      <w:rPr>
        <w:rFonts w:hint="default" w:ascii="Symbol" w:hAnsi="Symbol" w:cs="Symbol"/>
        <w:sz w:val="20"/>
      </w:rPr>
      <w:start w:val="1"/>
      <w:suff w:val="tab"/>
    </w:lvl>
    <w:lvl w:ilvl="5">
      <w:isLgl w:val="true"/>
      <w:lvlJc w:val="left"/>
      <w:lvlText w:val=""/>
      <w:numFmt w:val="bullet"/>
      <w:pPr>
        <w:pBdr/>
        <w:tabs>
          <w:tab w:val="num" w:leader="none" w:pos="4320"/>
        </w:tabs>
        <w:spacing/>
        <w:ind w:hanging="360" w:left="4320"/>
      </w:pPr>
      <w:rPr>
        <w:rFonts w:hint="default" w:ascii="Symbol" w:hAnsi="Symbol" w:cs="Symbol"/>
        <w:sz w:val="20"/>
      </w:rPr>
      <w:start w:val="1"/>
      <w:suff w:val="tab"/>
    </w:lvl>
    <w:lvl w:ilvl="6">
      <w:isLgl w:val="true"/>
      <w:lvlJc w:val="left"/>
      <w:lvlText w:val=""/>
      <w:numFmt w:val="bullet"/>
      <w:pPr>
        <w:pBdr/>
        <w:tabs>
          <w:tab w:val="num" w:leader="none" w:pos="5040"/>
        </w:tabs>
        <w:spacing/>
        <w:ind w:hanging="360" w:left="5040"/>
      </w:pPr>
      <w:rPr>
        <w:rFonts w:hint="default" w:ascii="Symbol" w:hAnsi="Symbol" w:cs="Symbol"/>
        <w:sz w:val="20"/>
      </w:rPr>
      <w:start w:val="1"/>
      <w:suff w:val="tab"/>
    </w:lvl>
    <w:lvl w:ilvl="7">
      <w:isLgl w:val="true"/>
      <w:lvlJc w:val="left"/>
      <w:lvlText w:val=""/>
      <w:numFmt w:val="bullet"/>
      <w:pPr>
        <w:pBdr/>
        <w:tabs>
          <w:tab w:val="num" w:leader="none" w:pos="5760"/>
        </w:tabs>
        <w:spacing/>
        <w:ind w:hanging="360" w:left="5760"/>
      </w:pPr>
      <w:rPr>
        <w:rFonts w:hint="default" w:ascii="Symbol" w:hAnsi="Symbol" w:cs="Symbol"/>
        <w:sz w:val="20"/>
      </w:rPr>
      <w:start w:val="1"/>
      <w:suff w:val="tab"/>
    </w:lvl>
    <w:lvl w:ilvl="8">
      <w:isLgl w:val="true"/>
      <w:lvlJc w:val="left"/>
      <w:lvlText w:val=""/>
      <w:numFmt w:val="bullet"/>
      <w:pPr>
        <w:pBdr/>
        <w:tabs>
          <w:tab w:val="num" w:leader="none" w:pos="6480"/>
        </w:tabs>
        <w:spacing/>
        <w:ind w:hanging="360" w:left="6480"/>
      </w:pPr>
      <w:rPr>
        <w:rFonts w:hint="default" w:ascii="Symbol" w:hAnsi="Symbol" w:cs="Symbol"/>
        <w:sz w:val="20"/>
      </w:rPr>
      <w:start w:val="1"/>
      <w:suff w:val="tab"/>
    </w:lvl>
  </w:abstractNum>
  <w:abstractNum w:abstractNumId="6">
    <w:lvl w:ilvl="0">
      <w:isLgl w:val="true"/>
      <w:lvlJc w:val="left"/>
      <w:lvlText w:val=""/>
      <w:numFmt w:val="bullet"/>
      <w:pPr>
        <w:pBdr/>
        <w:tabs>
          <w:tab w:val="num" w:leader="none" w:pos="0"/>
        </w:tabs>
        <w:spacing/>
        <w:ind w:hanging="360" w:left="928"/>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7">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8">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9">
    <w:lvl w:ilvl="0">
      <w:isLgl w:val="true"/>
      <w:lvlJc w:val="right"/>
      <w:lvlText w:val="%1."/>
      <w:numFmt w:val="upperRoman"/>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10">
    <w:lvl w:ilvl="0">
      <w:isLgl w:val="true"/>
      <w:lvlJc w:val="left"/>
      <w:lvlText w:val="%1."/>
      <w:numFmt w:val="decimal"/>
      <w:pPr>
        <w:pBdr/>
        <w:tabs>
          <w:tab w:val="num" w:leader="none" w:pos="0"/>
        </w:tabs>
        <w:spacing/>
        <w:ind w:hanging="360" w:left="720"/>
      </w:pPr>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11">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12">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13">
    <w:lvl w:ilvl="0">
      <w:isLgl w:val="true"/>
      <w:lvlJc w:val="left"/>
      <w:lvlText w:val=""/>
      <w:numFmt w:val="bullet"/>
      <w:pPr>
        <w:pBdr/>
        <w:tabs>
          <w:tab w:val="num" w:leader="none" w:pos="0"/>
        </w:tabs>
        <w:spacing/>
        <w:ind w:hanging="360" w:left="720"/>
      </w:pPr>
      <w:rPr>
        <w:rFonts w:hint="default" w:ascii="Wingdings" w:hAnsi="Wingdings" w:cs="Wingdings"/>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14">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15">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16">
    <w:lvl w:ilvl="0">
      <w:isLgl w:val="true"/>
      <w:lvlJc w:val="left"/>
      <w:lvlText w:val="●"/>
      <w:numFmt w:val="bullet"/>
      <w:pPr>
        <w:pBdr/>
        <w:tabs>
          <w:tab w:val="num" w:leader="none" w:pos="0"/>
        </w:tabs>
        <w:spacing/>
        <w:ind w:hanging="360" w:left="720"/>
      </w:pPr>
      <w:rPr>
        <w:rFonts w:hint="default" w:ascii="Noto Sans Symbols" w:hAnsi="Noto Sans Symbols" w:cs="Noto Sans Symbols"/>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Noto Sans Symbols" w:hAnsi="Noto Sans Symbols" w:cs="Noto Sans Symbols"/>
      </w:rPr>
      <w:start w:val="1"/>
      <w:suff w:val="tab"/>
    </w:lvl>
    <w:lvl w:ilvl="3">
      <w:isLgl w:val="true"/>
      <w:lvlJc w:val="left"/>
      <w:lvlText w:val="●"/>
      <w:numFmt w:val="bullet"/>
      <w:pPr>
        <w:pBdr/>
        <w:tabs>
          <w:tab w:val="num" w:leader="none" w:pos="0"/>
        </w:tabs>
        <w:spacing/>
        <w:ind w:hanging="360" w:left="2880"/>
      </w:pPr>
      <w:rPr>
        <w:rFonts w:hint="default" w:ascii="Noto Sans Symbols" w:hAnsi="Noto Sans Symbols" w:cs="Noto Sans Symbols"/>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Noto Sans Symbols" w:hAnsi="Noto Sans Symbols" w:cs="Noto Sans Symbols"/>
      </w:rPr>
      <w:start w:val="1"/>
      <w:suff w:val="tab"/>
    </w:lvl>
    <w:lvl w:ilvl="6">
      <w:isLgl w:val="true"/>
      <w:lvlJc w:val="left"/>
      <w:lvlText w:val="●"/>
      <w:numFmt w:val="bullet"/>
      <w:pPr>
        <w:pBdr/>
        <w:tabs>
          <w:tab w:val="num" w:leader="none" w:pos="0"/>
        </w:tabs>
        <w:spacing/>
        <w:ind w:hanging="360" w:left="5040"/>
      </w:pPr>
      <w:rPr>
        <w:rFonts w:hint="default" w:ascii="Noto Sans Symbols" w:hAnsi="Noto Sans Symbols" w:cs="Noto Sans Symbols"/>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Noto Sans Symbols" w:hAnsi="Noto Sans Symbols" w:cs="Noto Sans Symbols"/>
      </w:rPr>
      <w:start w:val="1"/>
      <w:suff w:val="tab"/>
    </w:lvl>
  </w:abstractNum>
  <w:abstractNum w:abstractNumId="17">
    <w:lvl w:ilvl="0">
      <w:isLgl w:val="true"/>
      <w:lvlJc w:val="left"/>
      <w:lvlText w:val="%1)"/>
      <w:numFmt w:val="decimal"/>
      <w:pPr>
        <w:pBdr/>
        <w:tabs>
          <w:tab w:val="num" w:leader="none" w:pos="0"/>
        </w:tabs>
        <w:spacing/>
        <w:ind w:hanging="360" w:left="720"/>
      </w:pPr>
      <w:rPr/>
      <w:start w:val="1"/>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18">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19">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20">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21">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22">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23">
    <w:lvl w:ilvl="0">
      <w:isLgl w:val="true"/>
      <w:lvlJc w:val="left"/>
      <w:lvlText w:val=""/>
      <w:numFmt w:val="bullet"/>
      <w:pPr>
        <w:pBdr/>
        <w:tabs>
          <w:tab w:val="num" w:leader="none" w:pos="0"/>
        </w:tabs>
        <w:spacing/>
        <w:ind w:hanging="360" w:left="1440"/>
      </w:pPr>
      <w:rPr>
        <w:rFonts w:hint="default" w:ascii="Symbol" w:hAnsi="Symbol" w:cs="Symbol"/>
      </w:rPr>
      <w:start w:val="1"/>
      <w:suff w:val="tab"/>
    </w:lvl>
    <w:lvl w:ilvl="1">
      <w:isLgl w:val="true"/>
      <w:lvlJc w:val="left"/>
      <w:lvlText w:val="o"/>
      <w:numFmt w:val="bullet"/>
      <w:pPr>
        <w:pBdr/>
        <w:tabs>
          <w:tab w:val="num" w:leader="none" w:pos="0"/>
        </w:tabs>
        <w:spacing/>
        <w:ind w:hanging="360" w:left="216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880"/>
      </w:pPr>
      <w:rPr>
        <w:rFonts w:hint="default" w:ascii="Wingdings" w:hAnsi="Wingdings" w:cs="Wingdings"/>
      </w:rPr>
      <w:start w:val="1"/>
      <w:suff w:val="tab"/>
    </w:lvl>
    <w:lvl w:ilvl="3">
      <w:isLgl w:val="true"/>
      <w:lvlJc w:val="left"/>
      <w:lvlText w:val=""/>
      <w:numFmt w:val="bullet"/>
      <w:pPr>
        <w:pBdr/>
        <w:tabs>
          <w:tab w:val="num" w:leader="none" w:pos="0"/>
        </w:tabs>
        <w:spacing/>
        <w:ind w:hanging="360" w:left="3600"/>
      </w:pPr>
      <w:rPr>
        <w:rFonts w:hint="default" w:ascii="Symbol" w:hAnsi="Symbol" w:cs="Symbol"/>
      </w:rPr>
      <w:start w:val="1"/>
      <w:suff w:val="tab"/>
    </w:lvl>
    <w:lvl w:ilvl="4">
      <w:isLgl w:val="true"/>
      <w:lvlJc w:val="left"/>
      <w:lvlText w:val="o"/>
      <w:numFmt w:val="bullet"/>
      <w:pPr>
        <w:pBdr/>
        <w:tabs>
          <w:tab w:val="num" w:leader="none" w:pos="0"/>
        </w:tabs>
        <w:spacing/>
        <w:ind w:hanging="360" w:left="432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5040"/>
      </w:pPr>
      <w:rPr>
        <w:rFonts w:hint="default" w:ascii="Wingdings" w:hAnsi="Wingdings" w:cs="Wingdings"/>
      </w:rPr>
      <w:start w:val="1"/>
      <w:suff w:val="tab"/>
    </w:lvl>
    <w:lvl w:ilvl="6">
      <w:isLgl w:val="true"/>
      <w:lvlJc w:val="left"/>
      <w:lvlText w:val=""/>
      <w:numFmt w:val="bullet"/>
      <w:pPr>
        <w:pBdr/>
        <w:tabs>
          <w:tab w:val="num" w:leader="none" w:pos="0"/>
        </w:tabs>
        <w:spacing/>
        <w:ind w:hanging="360" w:left="5760"/>
      </w:pPr>
      <w:rPr>
        <w:rFonts w:hint="default" w:ascii="Symbol" w:hAnsi="Symbol" w:cs="Symbol"/>
      </w:rPr>
      <w:start w:val="1"/>
      <w:suff w:val="tab"/>
    </w:lvl>
    <w:lvl w:ilvl="7">
      <w:isLgl w:val="true"/>
      <w:lvlJc w:val="left"/>
      <w:lvlText w:val="o"/>
      <w:numFmt w:val="bullet"/>
      <w:pPr>
        <w:pBdr/>
        <w:tabs>
          <w:tab w:val="num" w:leader="none" w:pos="0"/>
        </w:tabs>
        <w:spacing/>
        <w:ind w:hanging="360" w:left="648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7200"/>
      </w:pPr>
      <w:rPr>
        <w:rFonts w:hint="default" w:ascii="Wingdings" w:hAnsi="Wingdings" w:cs="Wingdings"/>
      </w:rPr>
      <w:start w:val="1"/>
      <w:suff w:val="tab"/>
    </w:lvl>
  </w:abstractNum>
  <w:abstractNum w:abstractNumId="24">
    <w:lvl w:ilvl="0">
      <w:isLgl w:val="true"/>
      <w:lvlJc w:val="left"/>
      <w:lvlText w:val="%1."/>
      <w:numFmt w:val="decimal"/>
      <w:pPr>
        <w:pBdr/>
        <w:tabs>
          <w:tab w:val="num" w:leader="none" w:pos="0"/>
        </w:tabs>
        <w:spacing/>
        <w:ind w:hanging="360" w:left="720"/>
      </w:pPr>
      <w:rPr>
        <w:u w:val="none"/>
      </w:rPr>
      <w:start w:val="1"/>
      <w:suff w:val="tab"/>
    </w:lvl>
    <w:lvl w:ilvl="1">
      <w:isLgl w:val="true"/>
      <w:lvlJc w:val="left"/>
      <w:lvlText w:val="%2."/>
      <w:numFmt w:val="lowerLetter"/>
      <w:pPr>
        <w:pBdr/>
        <w:tabs>
          <w:tab w:val="num" w:leader="none" w:pos="0"/>
        </w:tabs>
        <w:spacing/>
        <w:ind w:hanging="360" w:left="1440"/>
      </w:pPr>
      <w:rPr>
        <w:u w:val="none"/>
      </w:rPr>
      <w:start w:val="1"/>
      <w:suff w:val="tab"/>
    </w:lvl>
    <w:lvl w:ilvl="2">
      <w:isLgl w:val="true"/>
      <w:lvlJc w:val="right"/>
      <w:lvlText w:val="%3."/>
      <w:numFmt w:val="lowerRoman"/>
      <w:pPr>
        <w:pBdr/>
        <w:tabs>
          <w:tab w:val="num" w:leader="none" w:pos="0"/>
        </w:tabs>
        <w:spacing/>
        <w:ind w:hanging="360" w:left="2160"/>
      </w:pPr>
      <w:rPr>
        <w:u w:val="none"/>
      </w:rPr>
      <w:start w:val="1"/>
      <w:suff w:val="tab"/>
    </w:lvl>
    <w:lvl w:ilvl="3">
      <w:isLgl w:val="true"/>
      <w:lvlJc w:val="left"/>
      <w:lvlText w:val="%4."/>
      <w:numFmt w:val="decimal"/>
      <w:pPr>
        <w:pBdr/>
        <w:tabs>
          <w:tab w:val="num" w:leader="none" w:pos="0"/>
        </w:tabs>
        <w:spacing/>
        <w:ind w:hanging="360" w:left="2880"/>
      </w:pPr>
      <w:rPr>
        <w:u w:val="none"/>
      </w:rPr>
      <w:start w:val="1"/>
      <w:suff w:val="tab"/>
    </w:lvl>
    <w:lvl w:ilvl="4">
      <w:isLgl w:val="true"/>
      <w:lvlJc w:val="left"/>
      <w:lvlText w:val="%5."/>
      <w:numFmt w:val="lowerLetter"/>
      <w:pPr>
        <w:pBdr/>
        <w:tabs>
          <w:tab w:val="num" w:leader="none" w:pos="0"/>
        </w:tabs>
        <w:spacing/>
        <w:ind w:hanging="360" w:left="3600"/>
      </w:pPr>
      <w:rPr>
        <w:u w:val="none"/>
      </w:rPr>
      <w:start w:val="1"/>
      <w:suff w:val="tab"/>
    </w:lvl>
    <w:lvl w:ilvl="5">
      <w:isLgl w:val="true"/>
      <w:lvlJc w:val="right"/>
      <w:lvlText w:val="%6."/>
      <w:numFmt w:val="lowerRoman"/>
      <w:pPr>
        <w:pBdr/>
        <w:tabs>
          <w:tab w:val="num" w:leader="none" w:pos="0"/>
        </w:tabs>
        <w:spacing/>
        <w:ind w:hanging="360" w:left="4320"/>
      </w:pPr>
      <w:rPr>
        <w:u w:val="none"/>
      </w:rPr>
      <w:start w:val="1"/>
      <w:suff w:val="tab"/>
    </w:lvl>
    <w:lvl w:ilvl="6">
      <w:isLgl w:val="true"/>
      <w:lvlJc w:val="left"/>
      <w:lvlText w:val="%7."/>
      <w:numFmt w:val="decimal"/>
      <w:pPr>
        <w:pBdr/>
        <w:tabs>
          <w:tab w:val="num" w:leader="none" w:pos="0"/>
        </w:tabs>
        <w:spacing/>
        <w:ind w:hanging="360" w:left="5040"/>
      </w:pPr>
      <w:rPr>
        <w:u w:val="none"/>
      </w:rPr>
      <w:start w:val="1"/>
      <w:suff w:val="tab"/>
    </w:lvl>
    <w:lvl w:ilvl="7">
      <w:isLgl w:val="true"/>
      <w:lvlJc w:val="left"/>
      <w:lvlText w:val="%8."/>
      <w:numFmt w:val="lowerLetter"/>
      <w:pPr>
        <w:pBdr/>
        <w:tabs>
          <w:tab w:val="num" w:leader="none" w:pos="0"/>
        </w:tabs>
        <w:spacing/>
        <w:ind w:hanging="360" w:left="5760"/>
      </w:pPr>
      <w:rPr>
        <w:u w:val="none"/>
      </w:rPr>
      <w:start w:val="1"/>
      <w:suff w:val="tab"/>
    </w:lvl>
    <w:lvl w:ilvl="8">
      <w:isLgl w:val="true"/>
      <w:lvlJc w:val="right"/>
      <w:lvlText w:val="%9."/>
      <w:numFmt w:val="lowerRoman"/>
      <w:pPr>
        <w:pBdr/>
        <w:tabs>
          <w:tab w:val="num" w:leader="none" w:pos="0"/>
        </w:tabs>
        <w:spacing/>
        <w:ind w:hanging="360" w:left="6480"/>
      </w:pPr>
      <w:rPr>
        <w:u w:val="none"/>
      </w:rPr>
      <w:start w:val="1"/>
      <w:suff w:val="tab"/>
    </w:lvl>
  </w:abstractNum>
  <w:abstractNum w:abstractNumId="25">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6">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7">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8">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9">
    <w:lvl w:ilvl="0">
      <w:isLgl w:val="true"/>
      <w:lvlJc w:val="left"/>
      <w:lvlText w:val="%1."/>
      <w:numFmt w:val="decimal"/>
      <w:pPr>
        <w:pBdr/>
        <w:tabs>
          <w:tab w:val="num" w:leader="none" w:pos="0"/>
        </w:tabs>
        <w:spacing/>
        <w:ind w:hanging="360" w:left="720"/>
      </w:pPr>
      <w:rPr>
        <w:u w:val="none"/>
      </w:rPr>
      <w:start w:val="1"/>
      <w:suff w:val="tab"/>
    </w:lvl>
    <w:lvl w:ilvl="1">
      <w:isLgl w:val="true"/>
      <w:lvlJc w:val="left"/>
      <w:lvlText w:val="%2."/>
      <w:numFmt w:val="lowerLetter"/>
      <w:pPr>
        <w:pBdr/>
        <w:tabs>
          <w:tab w:val="num" w:leader="none" w:pos="0"/>
        </w:tabs>
        <w:spacing/>
        <w:ind w:hanging="360" w:left="1440"/>
      </w:pPr>
      <w:rPr>
        <w:u w:val="none"/>
      </w:rPr>
      <w:start w:val="1"/>
      <w:suff w:val="tab"/>
    </w:lvl>
    <w:lvl w:ilvl="2">
      <w:isLgl w:val="true"/>
      <w:lvlJc w:val="right"/>
      <w:lvlText w:val="%3."/>
      <w:numFmt w:val="lowerRoman"/>
      <w:pPr>
        <w:pBdr/>
        <w:tabs>
          <w:tab w:val="num" w:leader="none" w:pos="0"/>
        </w:tabs>
        <w:spacing/>
        <w:ind w:hanging="360" w:left="2160"/>
      </w:pPr>
      <w:rPr>
        <w:u w:val="none"/>
      </w:rPr>
      <w:start w:val="1"/>
      <w:suff w:val="tab"/>
    </w:lvl>
    <w:lvl w:ilvl="3">
      <w:isLgl w:val="true"/>
      <w:lvlJc w:val="left"/>
      <w:lvlText w:val=""/>
      <w:numFmt w:val="bullet"/>
      <w:pPr>
        <w:pBdr/>
        <w:tabs>
          <w:tab w:val="num" w:leader="none" w:pos="0"/>
        </w:tabs>
        <w:spacing/>
        <w:ind w:hanging="360" w:left="2880"/>
      </w:pPr>
      <w:rPr>
        <w:rFonts w:hint="default" w:ascii="Symbol" w:hAnsi="Symbol" w:cs="Symbol"/>
        <w:u w:val="none"/>
      </w:rPr>
      <w:start w:val="1"/>
      <w:suff w:val="tab"/>
    </w:lvl>
    <w:lvl w:ilvl="4">
      <w:isLgl w:val="true"/>
      <w:lvlJc w:val="left"/>
      <w:lvlText w:val="%5."/>
      <w:numFmt w:val="lowerLetter"/>
      <w:pPr>
        <w:pBdr/>
        <w:tabs>
          <w:tab w:val="num" w:leader="none" w:pos="0"/>
        </w:tabs>
        <w:spacing/>
        <w:ind w:hanging="360" w:left="3600"/>
      </w:pPr>
      <w:rPr>
        <w:u w:val="none"/>
      </w:rPr>
      <w:start w:val="1"/>
      <w:suff w:val="tab"/>
    </w:lvl>
    <w:lvl w:ilvl="5">
      <w:isLgl w:val="true"/>
      <w:lvlJc w:val="right"/>
      <w:lvlText w:val="%6."/>
      <w:numFmt w:val="lowerRoman"/>
      <w:pPr>
        <w:pBdr/>
        <w:tabs>
          <w:tab w:val="num" w:leader="none" w:pos="0"/>
        </w:tabs>
        <w:spacing/>
        <w:ind w:hanging="360" w:left="4320"/>
      </w:pPr>
      <w:rPr>
        <w:u w:val="none"/>
      </w:rPr>
      <w:start w:val="1"/>
      <w:suff w:val="tab"/>
    </w:lvl>
    <w:lvl w:ilvl="6">
      <w:isLgl w:val="true"/>
      <w:lvlJc w:val="left"/>
      <w:lvlText w:val="%7."/>
      <w:numFmt w:val="decimal"/>
      <w:pPr>
        <w:pBdr/>
        <w:tabs>
          <w:tab w:val="num" w:leader="none" w:pos="0"/>
        </w:tabs>
        <w:spacing/>
        <w:ind w:hanging="360" w:left="5040"/>
      </w:pPr>
      <w:rPr>
        <w:u w:val="none"/>
      </w:rPr>
      <w:start w:val="1"/>
      <w:suff w:val="tab"/>
    </w:lvl>
    <w:lvl w:ilvl="7">
      <w:isLgl w:val="true"/>
      <w:lvlJc w:val="left"/>
      <w:lvlText w:val="%8."/>
      <w:numFmt w:val="lowerLetter"/>
      <w:pPr>
        <w:pBdr/>
        <w:tabs>
          <w:tab w:val="num" w:leader="none" w:pos="0"/>
        </w:tabs>
        <w:spacing/>
        <w:ind w:hanging="360" w:left="5760"/>
      </w:pPr>
      <w:rPr>
        <w:u w:val="none"/>
      </w:rPr>
      <w:start w:val="1"/>
      <w:suff w:val="tab"/>
    </w:lvl>
    <w:lvl w:ilvl="8">
      <w:isLgl w:val="true"/>
      <w:lvlJc w:val="right"/>
      <w:lvlText w:val="%9."/>
      <w:numFmt w:val="lowerRoman"/>
      <w:pPr>
        <w:pBdr/>
        <w:tabs>
          <w:tab w:val="num" w:leader="none" w:pos="0"/>
        </w:tabs>
        <w:spacing/>
        <w:ind w:hanging="360" w:left="6480"/>
      </w:pPr>
      <w:rPr>
        <w:u w:val="none"/>
      </w:rPr>
      <w:start w:val="1"/>
      <w:suff w:val="tab"/>
    </w:lvl>
  </w:abstractNum>
  <w:abstractNum w:abstractNumId="30">
    <w:lvl w:ilvl="0">
      <w:isLgl w:val="true"/>
      <w:lvlJc w:val="left"/>
      <w:lvlText w:val="%1."/>
      <w:numFmt w:val="decimal"/>
      <w:pPr>
        <w:pBdr/>
        <w:tabs>
          <w:tab w:val="num" w:leader="none" w:pos="0"/>
        </w:tabs>
        <w:spacing/>
        <w:ind w:hanging="360" w:left="720"/>
      </w:pPr>
      <w:rPr/>
      <w:start w:val="6"/>
      <w:suff w:val="tab"/>
    </w:lvl>
    <w:lvl w:ilvl="1">
      <w:isLgl w:val="true"/>
      <w:lvlJc w:val="left"/>
      <w:lvlText w:val="%2."/>
      <w:numFmt w:val="lowerLetter"/>
      <w:pPr>
        <w:pBdr/>
        <w:tabs>
          <w:tab w:val="num" w:leader="none" w:pos="0"/>
        </w:tabs>
        <w:spacing/>
        <w:ind w:hanging="360" w:left="1440"/>
      </w:pPr>
      <w:rPr/>
      <w:start w:val="1"/>
      <w:suff w:val="tab"/>
    </w:lvl>
    <w:lvl w:ilvl="2">
      <w:isLgl w:val="true"/>
      <w:lvlJc w:val="right"/>
      <w:lvlText w:val="%3."/>
      <w:numFmt w:val="lowerRoman"/>
      <w:pPr>
        <w:pBdr/>
        <w:tabs>
          <w:tab w:val="num" w:leader="none" w:pos="0"/>
        </w:tabs>
        <w:spacing/>
        <w:ind w:hanging="180" w:left="2160"/>
      </w:pPr>
      <w:rPr/>
      <w:start w:val="1"/>
      <w:suff w:val="tab"/>
    </w:lvl>
    <w:lvl w:ilvl="3">
      <w:isLgl w:val="true"/>
      <w:lvlJc w:val="left"/>
      <w:lvlText w:val="%4."/>
      <w:numFmt w:val="decimal"/>
      <w:pPr>
        <w:pBdr/>
        <w:tabs>
          <w:tab w:val="num" w:leader="none" w:pos="0"/>
        </w:tabs>
        <w:spacing/>
        <w:ind w:hanging="360" w:left="2880"/>
      </w:pPr>
      <w:rPr/>
      <w:start w:val="1"/>
      <w:suff w:val="tab"/>
    </w:lvl>
    <w:lvl w:ilvl="4">
      <w:isLgl w:val="true"/>
      <w:lvlJc w:val="left"/>
      <w:lvlText w:val="%5."/>
      <w:numFmt w:val="lowerLetter"/>
      <w:pPr>
        <w:pBdr/>
        <w:tabs>
          <w:tab w:val="num" w:leader="none" w:pos="0"/>
        </w:tabs>
        <w:spacing/>
        <w:ind w:hanging="360" w:left="3600"/>
      </w:pPr>
      <w:rPr/>
      <w:start w:val="1"/>
      <w:suff w:val="tab"/>
    </w:lvl>
    <w:lvl w:ilvl="5">
      <w:isLgl w:val="true"/>
      <w:lvlJc w:val="right"/>
      <w:lvlText w:val="%6."/>
      <w:numFmt w:val="lowerRoman"/>
      <w:pPr>
        <w:pBdr/>
        <w:tabs>
          <w:tab w:val="num" w:leader="none" w:pos="0"/>
        </w:tabs>
        <w:spacing/>
        <w:ind w:hanging="180" w:left="4320"/>
      </w:pPr>
      <w:rPr/>
      <w:start w:val="1"/>
      <w:suff w:val="tab"/>
    </w:lvl>
    <w:lvl w:ilvl="6">
      <w:isLgl w:val="true"/>
      <w:lvlJc w:val="left"/>
      <w:lvlText w:val="%7."/>
      <w:numFmt w:val="decimal"/>
      <w:pPr>
        <w:pBdr/>
        <w:tabs>
          <w:tab w:val="num" w:leader="none" w:pos="0"/>
        </w:tabs>
        <w:spacing/>
        <w:ind w:hanging="360" w:left="5040"/>
      </w:pPr>
      <w:rPr/>
      <w:start w:val="1"/>
      <w:suff w:val="tab"/>
    </w:lvl>
    <w:lvl w:ilvl="7">
      <w:isLgl w:val="true"/>
      <w:lvlJc w:val="left"/>
      <w:lvlText w:val="%8."/>
      <w:numFmt w:val="lowerLetter"/>
      <w:pPr>
        <w:pBdr/>
        <w:tabs>
          <w:tab w:val="num" w:leader="none" w:pos="0"/>
        </w:tabs>
        <w:spacing/>
        <w:ind w:hanging="360" w:left="5760"/>
      </w:pPr>
      <w:rPr/>
      <w:start w:val="1"/>
      <w:suff w:val="tab"/>
    </w:lvl>
    <w:lvl w:ilvl="8">
      <w:isLgl w:val="true"/>
      <w:lvlJc w:val="right"/>
      <w:lvlText w:val="%9."/>
      <w:numFmt w:val="lowerRoman"/>
      <w:pPr>
        <w:pBdr/>
        <w:tabs>
          <w:tab w:val="num" w:leader="none" w:pos="0"/>
        </w:tabs>
        <w:spacing/>
        <w:ind w:hanging="180" w:left="6480"/>
      </w:pPr>
      <w:rPr/>
      <w:start w:val="1"/>
      <w:suff w:val="tab"/>
    </w:lvl>
  </w:abstractNum>
  <w:abstractNum w:abstractNumId="31">
    <w:lvl w:ilvl="0">
      <w:isLgl w:val="true"/>
      <w:lvlJc w:val="left"/>
      <w:lvlText w:val="%1."/>
      <w:numFmt w:val="decimal"/>
      <w:pPr>
        <w:pBdr/>
        <w:tabs>
          <w:tab w:val="num" w:leader="none" w:pos="0"/>
        </w:tabs>
        <w:spacing/>
        <w:ind w:hanging="360" w:left="720"/>
      </w:pPr>
      <w:rPr>
        <w:u w:val="none"/>
      </w:rPr>
      <w:start w:val="7"/>
      <w:suff w:val="tab"/>
    </w:lvl>
    <w:lvl w:ilvl="1">
      <w:isLgl w:val="true"/>
      <w:lvlJc w:val="left"/>
      <w:lvlText w:val="%2."/>
      <w:numFmt w:val="lowerLetter"/>
      <w:pPr>
        <w:pBdr/>
        <w:tabs>
          <w:tab w:val="num" w:leader="none" w:pos="0"/>
        </w:tabs>
        <w:spacing/>
        <w:ind w:hanging="360" w:left="1440"/>
      </w:pPr>
      <w:rPr>
        <w:u w:val="none"/>
      </w:rPr>
      <w:start w:val="1"/>
      <w:suff w:val="tab"/>
    </w:lvl>
    <w:lvl w:ilvl="2">
      <w:isLgl w:val="true"/>
      <w:lvlJc w:val="right"/>
      <w:lvlText w:val="%3."/>
      <w:numFmt w:val="lowerRoman"/>
      <w:pPr>
        <w:pBdr/>
        <w:tabs>
          <w:tab w:val="num" w:leader="none" w:pos="0"/>
        </w:tabs>
        <w:spacing/>
        <w:ind w:hanging="360" w:left="2160"/>
      </w:pPr>
      <w:rPr>
        <w:u w:val="none"/>
      </w:rPr>
      <w:start w:val="1"/>
      <w:suff w:val="tab"/>
    </w:lvl>
    <w:lvl w:ilvl="3">
      <w:isLgl w:val="true"/>
      <w:lvlJc w:val="left"/>
      <w:lvlText w:val="%4."/>
      <w:numFmt w:val="decimal"/>
      <w:pPr>
        <w:pBdr/>
        <w:tabs>
          <w:tab w:val="num" w:leader="none" w:pos="0"/>
        </w:tabs>
        <w:spacing/>
        <w:ind w:hanging="360" w:left="2880"/>
      </w:pPr>
      <w:rPr>
        <w:u w:val="none"/>
      </w:rPr>
      <w:start w:val="7"/>
      <w:suff w:val="tab"/>
    </w:lvl>
    <w:lvl w:ilvl="4">
      <w:isLgl w:val="true"/>
      <w:lvlJc w:val="left"/>
      <w:lvlText w:val="%5."/>
      <w:numFmt w:val="lowerLetter"/>
      <w:pPr>
        <w:pBdr/>
        <w:tabs>
          <w:tab w:val="num" w:leader="none" w:pos="0"/>
        </w:tabs>
        <w:spacing/>
        <w:ind w:hanging="360" w:left="3600"/>
      </w:pPr>
      <w:rPr>
        <w:u w:val="none"/>
      </w:rPr>
      <w:start w:val="1"/>
      <w:suff w:val="tab"/>
    </w:lvl>
    <w:lvl w:ilvl="5">
      <w:isLgl w:val="true"/>
      <w:lvlJc w:val="right"/>
      <w:lvlText w:val="%6."/>
      <w:numFmt w:val="lowerRoman"/>
      <w:pPr>
        <w:pBdr/>
        <w:tabs>
          <w:tab w:val="num" w:leader="none" w:pos="0"/>
        </w:tabs>
        <w:spacing/>
        <w:ind w:hanging="360" w:left="4320"/>
      </w:pPr>
      <w:rPr>
        <w:u w:val="none"/>
      </w:rPr>
      <w:start w:val="1"/>
      <w:suff w:val="tab"/>
    </w:lvl>
    <w:lvl w:ilvl="6">
      <w:isLgl w:val="true"/>
      <w:lvlJc w:val="left"/>
      <w:lvlText w:val="%7."/>
      <w:numFmt w:val="decimal"/>
      <w:pPr>
        <w:pBdr/>
        <w:tabs>
          <w:tab w:val="num" w:leader="none" w:pos="0"/>
        </w:tabs>
        <w:spacing/>
        <w:ind w:hanging="360" w:left="5040"/>
      </w:pPr>
      <w:rPr>
        <w:u w:val="none"/>
      </w:rPr>
      <w:start w:val="1"/>
      <w:suff w:val="tab"/>
    </w:lvl>
    <w:lvl w:ilvl="7">
      <w:isLgl w:val="true"/>
      <w:lvlJc w:val="left"/>
      <w:lvlText w:val="%8."/>
      <w:numFmt w:val="lowerLetter"/>
      <w:pPr>
        <w:pBdr/>
        <w:tabs>
          <w:tab w:val="num" w:leader="none" w:pos="0"/>
        </w:tabs>
        <w:spacing/>
        <w:ind w:hanging="360" w:left="5760"/>
      </w:pPr>
      <w:rPr>
        <w:u w:val="none"/>
      </w:rPr>
      <w:start w:val="1"/>
      <w:suff w:val="tab"/>
    </w:lvl>
    <w:lvl w:ilvl="8">
      <w:isLgl w:val="true"/>
      <w:lvlJc w:val="right"/>
      <w:lvlText w:val="%9."/>
      <w:numFmt w:val="lowerRoman"/>
      <w:pPr>
        <w:pBdr/>
        <w:tabs>
          <w:tab w:val="num" w:leader="none" w:pos="0"/>
        </w:tabs>
        <w:spacing/>
        <w:ind w:hanging="360" w:left="6480"/>
      </w:pPr>
      <w:rPr>
        <w:u w:val="none"/>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l-PL" w:eastAsia="en-US" w:bidi="ar-SA"/>
        <w14:ligatures w14:val="standardContextual"/>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numbering" w:styleId="844" w:default="1">
    <w:name w:val="No List"/>
    <w:uiPriority w:val="99"/>
    <w:semiHidden/>
    <w:unhideWhenUsed/>
    <w:pPr>
      <w:pBdr/>
      <w:spacing/>
      <w:ind/>
    </w:pPr>
  </w:style>
  <w:style w:type="paragraph" w:styleId="845" w:default="1">
    <w:name w:val="Normal"/>
    <w:qFormat/>
    <w:pPr>
      <w:widowControl w:val="true"/>
      <w:pBdr/>
      <w:bidi w:val="false"/>
      <w:spacing w:after="0" w:afterAutospacing="0" w:before="0" w:beforeAutospacing="0" w:line="240" w:lineRule="auto"/>
      <w:ind/>
      <w:jc w:val="left"/>
    </w:pPr>
    <w:rPr>
      <w:rFonts w:ascii="Times New Roman" w:hAnsi="Times New Roman" w:eastAsia="Times New Roman" w:cs="Times New Roman"/>
      <w:color w:val="auto"/>
      <w:sz w:val="24"/>
      <w:szCs w:val="24"/>
      <w:lang w:val="pl-PL" w:eastAsia="zh-CN" w:bidi="ar-SA"/>
      <w14:ligatures w14:val="none"/>
    </w:rPr>
  </w:style>
  <w:style w:type="paragraph" w:styleId="846">
    <w:name w:val="Heading 1"/>
    <w:basedOn w:val="845"/>
    <w:next w:val="845"/>
    <w:link w:val="885"/>
    <w:uiPriority w:val="9"/>
    <w:qFormat/>
    <w:pPr>
      <w:keepNext w:val="true"/>
      <w:keepLines w:val="true"/>
      <w:pBdr/>
      <w:spacing w:after="80" w:before="360" w:line="259" w:lineRule="auto"/>
      <w:ind/>
      <w:outlineLvl w:val="0"/>
    </w:pPr>
    <w:rPr>
      <w:rFonts w:ascii="Calibri Light" w:hAnsi="Calibri Light" w:eastAsia="Arial" w:cs="Arial" w:asciiTheme="majorHAnsi" w:hAnsiTheme="majorHAnsi" w:eastAsiaTheme="majorEastAsia" w:cstheme="majorBidi"/>
      <w:color w:val="2f5496" w:themeColor="accent1" w:themeShade="BF"/>
      <w:sz w:val="40"/>
      <w:szCs w:val="40"/>
      <w:lang w:eastAsia="en-US"/>
      <w14:ligatures w14:val="standardContextual"/>
    </w:rPr>
  </w:style>
  <w:style w:type="paragraph" w:styleId="847">
    <w:name w:val="Heading 2"/>
    <w:basedOn w:val="845"/>
    <w:next w:val="845"/>
    <w:link w:val="886"/>
    <w:uiPriority w:val="9"/>
    <w:semiHidden/>
    <w:unhideWhenUsed/>
    <w:qFormat/>
    <w:pPr>
      <w:keepNext w:val="true"/>
      <w:keepLines w:val="true"/>
      <w:pBdr/>
      <w:spacing w:after="80" w:before="160" w:line="259" w:lineRule="auto"/>
      <w:ind/>
      <w:outlineLvl w:val="1"/>
    </w:pPr>
    <w:rPr>
      <w:rFonts w:ascii="Calibri Light" w:hAnsi="Calibri Light" w:eastAsia="Arial" w:cs="Arial" w:asciiTheme="majorHAnsi" w:hAnsiTheme="majorHAnsi" w:eastAsiaTheme="majorEastAsia" w:cstheme="majorBidi"/>
      <w:color w:val="2f5496" w:themeColor="accent1" w:themeShade="BF"/>
      <w:sz w:val="32"/>
      <w:szCs w:val="32"/>
      <w:lang w:eastAsia="en-US"/>
      <w14:ligatures w14:val="standardContextual"/>
    </w:rPr>
  </w:style>
  <w:style w:type="paragraph" w:styleId="848">
    <w:name w:val="Heading 3"/>
    <w:basedOn w:val="845"/>
    <w:next w:val="845"/>
    <w:link w:val="887"/>
    <w:uiPriority w:val="9"/>
    <w:semiHidden/>
    <w:unhideWhenUsed/>
    <w:qFormat/>
    <w:pPr>
      <w:keepNext w:val="true"/>
      <w:keepLines w:val="true"/>
      <w:pBdr/>
      <w:spacing w:after="80" w:before="160" w:line="259" w:lineRule="auto"/>
      <w:ind/>
      <w:outlineLvl w:val="2"/>
    </w:pPr>
    <w:rPr>
      <w:rFonts w:ascii="Calibri" w:hAnsi="Calibri" w:eastAsia="Arial" w:cs="Arial" w:asciiTheme="minorHAnsi" w:hAnsiTheme="minorHAnsi" w:eastAsiaTheme="majorEastAsia" w:cstheme="majorBidi"/>
      <w:color w:val="2f5496" w:themeColor="accent1" w:themeShade="BF"/>
      <w:sz w:val="28"/>
      <w:szCs w:val="28"/>
      <w:lang w:eastAsia="en-US"/>
      <w14:ligatures w14:val="standardContextual"/>
    </w:rPr>
  </w:style>
  <w:style w:type="paragraph" w:styleId="849">
    <w:name w:val="Heading 4"/>
    <w:basedOn w:val="845"/>
    <w:next w:val="845"/>
    <w:link w:val="888"/>
    <w:uiPriority w:val="9"/>
    <w:semiHidden/>
    <w:unhideWhenUsed/>
    <w:qFormat/>
    <w:pPr>
      <w:keepNext w:val="true"/>
      <w:keepLines w:val="true"/>
      <w:pBdr/>
      <w:spacing w:after="40" w:before="80" w:line="259" w:lineRule="auto"/>
      <w:ind/>
      <w:outlineLvl w:val="3"/>
    </w:pPr>
    <w:rPr>
      <w:rFonts w:ascii="Calibri" w:hAnsi="Calibri" w:eastAsia="Arial" w:cs="Arial" w:asciiTheme="minorHAnsi" w:hAnsiTheme="minorHAnsi" w:eastAsiaTheme="majorEastAsia" w:cstheme="majorBidi"/>
      <w:i/>
      <w:iCs/>
      <w:color w:val="2f5496" w:themeColor="accent1" w:themeShade="BF"/>
      <w:sz w:val="22"/>
      <w:szCs w:val="22"/>
      <w:lang w:eastAsia="en-US"/>
      <w14:ligatures w14:val="standardContextual"/>
    </w:rPr>
  </w:style>
  <w:style w:type="paragraph" w:styleId="850">
    <w:name w:val="Heading 5"/>
    <w:basedOn w:val="845"/>
    <w:next w:val="845"/>
    <w:link w:val="889"/>
    <w:uiPriority w:val="9"/>
    <w:semiHidden/>
    <w:unhideWhenUsed/>
    <w:qFormat/>
    <w:pPr>
      <w:keepNext w:val="true"/>
      <w:keepLines w:val="true"/>
      <w:pBdr/>
      <w:spacing w:after="40" w:before="80" w:line="259" w:lineRule="auto"/>
      <w:ind/>
      <w:outlineLvl w:val="4"/>
    </w:pPr>
    <w:rPr>
      <w:rFonts w:ascii="Calibri" w:hAnsi="Calibri" w:eastAsia="Arial" w:cs="Arial" w:asciiTheme="minorHAnsi" w:hAnsiTheme="minorHAnsi" w:eastAsiaTheme="majorEastAsia" w:cstheme="majorBidi"/>
      <w:color w:val="2f5496" w:themeColor="accent1" w:themeShade="BF"/>
      <w:sz w:val="22"/>
      <w:szCs w:val="22"/>
      <w:lang w:eastAsia="en-US"/>
      <w14:ligatures w14:val="standardContextual"/>
    </w:rPr>
  </w:style>
  <w:style w:type="paragraph" w:styleId="851">
    <w:name w:val="Heading 6"/>
    <w:basedOn w:val="845"/>
    <w:next w:val="845"/>
    <w:link w:val="890"/>
    <w:uiPriority w:val="9"/>
    <w:semiHidden/>
    <w:unhideWhenUsed/>
    <w:qFormat/>
    <w:pPr>
      <w:keepNext w:val="true"/>
      <w:keepLines w:val="true"/>
      <w:pBdr/>
      <w:spacing w:after="0" w:before="40" w:line="259" w:lineRule="auto"/>
      <w:ind/>
      <w:outlineLvl w:val="5"/>
    </w:pPr>
    <w:rPr>
      <w:rFonts w:ascii="Calibri" w:hAnsi="Calibri" w:eastAsia="Arial" w:cs="Arial" w:asciiTheme="minorHAnsi" w:hAnsiTheme="minorHAnsi" w:eastAsiaTheme="majorEastAsia" w:cstheme="majorBidi"/>
      <w:i/>
      <w:iCs/>
      <w:color w:val="595959" w:themeColor="text1" w:themeTint="A6"/>
      <w:sz w:val="22"/>
      <w:szCs w:val="22"/>
      <w:lang w:eastAsia="en-US"/>
      <w14:ligatures w14:val="standardContextual"/>
    </w:rPr>
  </w:style>
  <w:style w:type="paragraph" w:styleId="852">
    <w:name w:val="Heading 7"/>
    <w:basedOn w:val="845"/>
    <w:next w:val="845"/>
    <w:link w:val="891"/>
    <w:uiPriority w:val="9"/>
    <w:semiHidden/>
    <w:unhideWhenUsed/>
    <w:qFormat/>
    <w:pPr>
      <w:keepNext w:val="true"/>
      <w:keepLines w:val="true"/>
      <w:pBdr/>
      <w:spacing w:after="0" w:before="40" w:line="259" w:lineRule="auto"/>
      <w:ind/>
      <w:outlineLvl w:val="6"/>
    </w:pPr>
    <w:rPr>
      <w:rFonts w:ascii="Calibri" w:hAnsi="Calibri" w:eastAsia="Arial" w:cs="Arial" w:asciiTheme="minorHAnsi" w:hAnsiTheme="minorHAnsi" w:eastAsiaTheme="majorEastAsia" w:cstheme="majorBidi"/>
      <w:color w:val="595959" w:themeColor="text1" w:themeTint="A6"/>
      <w:sz w:val="22"/>
      <w:szCs w:val="22"/>
      <w:lang w:eastAsia="en-US"/>
      <w14:ligatures w14:val="standardContextual"/>
    </w:rPr>
  </w:style>
  <w:style w:type="paragraph" w:styleId="853">
    <w:name w:val="Heading 8"/>
    <w:basedOn w:val="845"/>
    <w:next w:val="845"/>
    <w:link w:val="892"/>
    <w:uiPriority w:val="9"/>
    <w:semiHidden/>
    <w:unhideWhenUsed/>
    <w:qFormat/>
    <w:pPr>
      <w:keepNext w:val="true"/>
      <w:keepLines w:val="true"/>
      <w:pBdr/>
      <w:spacing w:line="259" w:lineRule="auto"/>
      <w:ind/>
      <w:outlineLvl w:val="7"/>
    </w:pPr>
    <w:rPr>
      <w:rFonts w:ascii="Calibri" w:hAnsi="Calibri" w:eastAsia="Arial" w:cs="Arial" w:asciiTheme="minorHAnsi" w:hAnsiTheme="minorHAnsi" w:eastAsiaTheme="majorEastAsia" w:cstheme="majorBidi"/>
      <w:i/>
      <w:iCs/>
      <w:color w:val="272727" w:themeColor="text1" w:themeTint="D8"/>
      <w:sz w:val="22"/>
      <w:szCs w:val="22"/>
      <w:lang w:eastAsia="en-US"/>
      <w14:ligatures w14:val="standardContextual"/>
    </w:rPr>
  </w:style>
  <w:style w:type="paragraph" w:styleId="854">
    <w:name w:val="Heading 9"/>
    <w:basedOn w:val="845"/>
    <w:next w:val="845"/>
    <w:link w:val="893"/>
    <w:uiPriority w:val="9"/>
    <w:semiHidden/>
    <w:unhideWhenUsed/>
    <w:qFormat/>
    <w:pPr>
      <w:keepNext w:val="true"/>
      <w:keepLines w:val="true"/>
      <w:pBdr/>
      <w:spacing w:line="259" w:lineRule="auto"/>
      <w:ind/>
      <w:outlineLvl w:val="8"/>
    </w:pPr>
    <w:rPr>
      <w:rFonts w:ascii="Calibri" w:hAnsi="Calibri" w:eastAsia="Arial" w:cs="Arial" w:asciiTheme="minorHAnsi" w:hAnsiTheme="minorHAnsi" w:eastAsiaTheme="majorEastAsia" w:cstheme="majorBidi"/>
      <w:color w:val="272727" w:themeColor="text1" w:themeTint="D8"/>
      <w:sz w:val="22"/>
      <w:szCs w:val="22"/>
      <w:lang w:eastAsia="en-US"/>
      <w14:ligatures w14:val="standardContextual"/>
    </w:rPr>
  </w:style>
  <w:style w:type="character" w:styleId="855">
    <w:name w:val="Heading 1 Char"/>
    <w:basedOn w:val="884"/>
    <w:uiPriority w:val="9"/>
    <w:qFormat/>
    <w:pPr>
      <w:pBdr/>
      <w:spacing/>
      <w:ind/>
    </w:pPr>
    <w:rPr>
      <w:rFonts w:ascii="Arial" w:hAnsi="Arial" w:eastAsia="Arial" w:cs="Arial"/>
      <w:color w:val="0f4761" w:themeColor="accent1" w:themeShade="BF"/>
      <w:sz w:val="40"/>
      <w:szCs w:val="40"/>
    </w:rPr>
  </w:style>
  <w:style w:type="character" w:styleId="856">
    <w:name w:val="Heading 2 Char"/>
    <w:basedOn w:val="884"/>
    <w:uiPriority w:val="9"/>
    <w:qFormat/>
    <w:pPr>
      <w:pBdr/>
      <w:spacing/>
      <w:ind/>
    </w:pPr>
    <w:rPr>
      <w:rFonts w:ascii="Arial" w:hAnsi="Arial" w:eastAsia="Arial" w:cs="Arial"/>
      <w:color w:val="0f4761" w:themeColor="accent1" w:themeShade="BF"/>
      <w:sz w:val="32"/>
      <w:szCs w:val="32"/>
    </w:rPr>
  </w:style>
  <w:style w:type="character" w:styleId="857">
    <w:name w:val="Heading 3 Char"/>
    <w:basedOn w:val="884"/>
    <w:uiPriority w:val="9"/>
    <w:qFormat/>
    <w:pPr>
      <w:pBdr/>
      <w:spacing/>
      <w:ind/>
    </w:pPr>
    <w:rPr>
      <w:rFonts w:ascii="Arial" w:hAnsi="Arial" w:eastAsia="Arial" w:cs="Arial"/>
      <w:color w:val="0f4761" w:themeColor="accent1" w:themeShade="BF"/>
      <w:sz w:val="28"/>
      <w:szCs w:val="28"/>
    </w:rPr>
  </w:style>
  <w:style w:type="character" w:styleId="858">
    <w:name w:val="Heading 4 Char"/>
    <w:basedOn w:val="884"/>
    <w:uiPriority w:val="9"/>
    <w:qFormat/>
    <w:pPr>
      <w:pBdr/>
      <w:spacing/>
      <w:ind/>
    </w:pPr>
    <w:rPr>
      <w:rFonts w:ascii="Arial" w:hAnsi="Arial" w:eastAsia="Arial" w:cs="Arial"/>
      <w:i/>
      <w:iCs/>
      <w:color w:val="0f4761" w:themeColor="accent1" w:themeShade="BF"/>
    </w:rPr>
  </w:style>
  <w:style w:type="character" w:styleId="859">
    <w:name w:val="Heading 5 Char"/>
    <w:basedOn w:val="884"/>
    <w:uiPriority w:val="9"/>
    <w:qFormat/>
    <w:pPr>
      <w:pBdr/>
      <w:spacing/>
      <w:ind/>
    </w:pPr>
    <w:rPr>
      <w:rFonts w:ascii="Arial" w:hAnsi="Arial" w:eastAsia="Arial" w:cs="Arial"/>
      <w:color w:val="0f4761" w:themeColor="accent1" w:themeShade="BF"/>
    </w:rPr>
  </w:style>
  <w:style w:type="character" w:styleId="860">
    <w:name w:val="Heading 6 Char"/>
    <w:basedOn w:val="884"/>
    <w:uiPriority w:val="9"/>
    <w:qFormat/>
    <w:pPr>
      <w:pBdr/>
      <w:spacing/>
      <w:ind/>
    </w:pPr>
    <w:rPr>
      <w:rFonts w:ascii="Arial" w:hAnsi="Arial" w:eastAsia="Arial" w:cs="Arial"/>
      <w:i/>
      <w:iCs/>
      <w:color w:val="595959" w:themeColor="text1" w:themeTint="A6"/>
    </w:rPr>
  </w:style>
  <w:style w:type="character" w:styleId="861">
    <w:name w:val="Heading 7 Char"/>
    <w:basedOn w:val="884"/>
    <w:uiPriority w:val="9"/>
    <w:qFormat/>
    <w:pPr>
      <w:pBdr/>
      <w:spacing/>
      <w:ind/>
    </w:pPr>
    <w:rPr>
      <w:rFonts w:ascii="Arial" w:hAnsi="Arial" w:eastAsia="Arial" w:cs="Arial"/>
      <w:color w:val="595959" w:themeColor="text1" w:themeTint="A6"/>
    </w:rPr>
  </w:style>
  <w:style w:type="character" w:styleId="862">
    <w:name w:val="Heading 8 Char"/>
    <w:basedOn w:val="884"/>
    <w:uiPriority w:val="9"/>
    <w:qFormat/>
    <w:pPr>
      <w:pBdr/>
      <w:spacing/>
      <w:ind/>
    </w:pPr>
    <w:rPr>
      <w:rFonts w:ascii="Arial" w:hAnsi="Arial" w:eastAsia="Arial" w:cs="Arial"/>
      <w:i/>
      <w:iCs/>
      <w:color w:val="272727" w:themeColor="text1" w:themeTint="D8"/>
    </w:rPr>
  </w:style>
  <w:style w:type="character" w:styleId="863">
    <w:name w:val="Heading 9 Char"/>
    <w:basedOn w:val="884"/>
    <w:uiPriority w:val="9"/>
    <w:qFormat/>
    <w:pPr>
      <w:pBdr/>
      <w:spacing/>
      <w:ind/>
    </w:pPr>
    <w:rPr>
      <w:rFonts w:ascii="Arial" w:hAnsi="Arial" w:eastAsia="Arial" w:cs="Arial"/>
      <w:i/>
      <w:iCs/>
      <w:color w:val="272727" w:themeColor="text1" w:themeTint="D8"/>
    </w:rPr>
  </w:style>
  <w:style w:type="character" w:styleId="864">
    <w:name w:val="Title Char"/>
    <w:basedOn w:val="884"/>
    <w:uiPriority w:val="10"/>
    <w:qFormat/>
    <w:pPr>
      <w:pBdr/>
      <w:spacing/>
      <w:ind/>
    </w:pPr>
    <w:rPr>
      <w:rFonts w:ascii="Arial" w:hAnsi="Arial" w:eastAsia="Arial" w:cs="Arial"/>
      <w:spacing w:val="-10"/>
      <w:sz w:val="56"/>
      <w:szCs w:val="56"/>
    </w:rPr>
  </w:style>
  <w:style w:type="character" w:styleId="865">
    <w:name w:val="Subtitle Char"/>
    <w:basedOn w:val="884"/>
    <w:uiPriority w:val="11"/>
    <w:qFormat/>
    <w:pPr>
      <w:pBdr/>
      <w:spacing/>
      <w:ind/>
    </w:pPr>
    <w:rPr>
      <w:color w:val="595959" w:themeColor="text1" w:themeTint="A6"/>
      <w:spacing w:val="15"/>
      <w:sz w:val="28"/>
      <w:szCs w:val="28"/>
    </w:rPr>
  </w:style>
  <w:style w:type="character" w:styleId="866">
    <w:name w:val="Quote Char"/>
    <w:basedOn w:val="884"/>
    <w:link w:val="929"/>
    <w:uiPriority w:val="29"/>
    <w:qFormat/>
    <w:pPr>
      <w:pBdr/>
      <w:spacing/>
      <w:ind/>
    </w:pPr>
    <w:rPr>
      <w:i/>
      <w:iCs/>
      <w:color w:val="404040" w:themeColor="text1" w:themeTint="BF"/>
    </w:rPr>
  </w:style>
  <w:style w:type="character" w:styleId="867">
    <w:name w:val="Intense Quote Char"/>
    <w:basedOn w:val="884"/>
    <w:link w:val="931"/>
    <w:uiPriority w:val="30"/>
    <w:qFormat/>
    <w:pPr>
      <w:pBdr/>
      <w:spacing/>
      <w:ind/>
    </w:pPr>
    <w:rPr>
      <w:i/>
      <w:iCs/>
      <w:color w:val="0f4761" w:themeColor="accent1" w:themeShade="BF"/>
    </w:rPr>
  </w:style>
  <w:style w:type="character" w:styleId="868">
    <w:name w:val="Emphasis"/>
    <w:basedOn w:val="884"/>
    <w:uiPriority w:val="20"/>
    <w:qFormat/>
    <w:pPr>
      <w:pBdr/>
      <w:spacing/>
      <w:ind/>
    </w:pPr>
    <w:rPr>
      <w:i/>
      <w:iCs/>
    </w:rPr>
  </w:style>
  <w:style w:type="character" w:styleId="869">
    <w:name w:val="Strong"/>
    <w:basedOn w:val="884"/>
    <w:uiPriority w:val="22"/>
    <w:qFormat/>
    <w:pPr>
      <w:pBdr/>
      <w:spacing/>
      <w:ind/>
    </w:pPr>
    <w:rPr>
      <w:b/>
      <w:bCs/>
    </w:rPr>
  </w:style>
  <w:style w:type="character" w:styleId="870">
    <w:name w:val="Subtle Reference"/>
    <w:basedOn w:val="884"/>
    <w:uiPriority w:val="31"/>
    <w:qFormat/>
    <w:pPr>
      <w:pBdr/>
      <w:spacing/>
      <w:ind/>
    </w:pPr>
    <w:rPr>
      <w:smallCaps/>
      <w:color w:val="5a5a5a" w:themeColor="text1" w:themeTint="A5"/>
    </w:rPr>
  </w:style>
  <w:style w:type="character" w:styleId="871">
    <w:name w:val="Book Title"/>
    <w:basedOn w:val="884"/>
    <w:uiPriority w:val="33"/>
    <w:qFormat/>
    <w:pPr>
      <w:pBdr/>
      <w:spacing/>
      <w:ind/>
    </w:pPr>
    <w:rPr>
      <w:b/>
      <w:bCs/>
      <w:i/>
      <w:iCs/>
      <w:spacing w:val="5"/>
    </w:rPr>
  </w:style>
  <w:style w:type="character" w:styleId="872">
    <w:name w:val="Header Char"/>
    <w:basedOn w:val="884"/>
    <w:uiPriority w:val="99"/>
    <w:qFormat/>
    <w:pPr>
      <w:pBdr/>
      <w:spacing/>
      <w:ind/>
    </w:pPr>
  </w:style>
  <w:style w:type="character" w:styleId="873">
    <w:name w:val="Footer Char"/>
    <w:basedOn w:val="884"/>
    <w:uiPriority w:val="99"/>
    <w:qFormat/>
    <w:pPr>
      <w:pBdr/>
      <w:spacing/>
      <w:ind/>
    </w:pPr>
  </w:style>
  <w:style w:type="character" w:styleId="874">
    <w:name w:val="Footnote Text Char"/>
    <w:basedOn w:val="884"/>
    <w:uiPriority w:val="99"/>
    <w:semiHidden/>
    <w:qFormat/>
    <w:pPr>
      <w:pBdr/>
      <w:spacing/>
      <w:ind/>
    </w:pPr>
    <w:rPr>
      <w:sz w:val="20"/>
      <w:szCs w:val="20"/>
    </w:rPr>
  </w:style>
  <w:style w:type="character" w:styleId="875">
    <w:name w:val="Znaki przypisów dolnych (user)"/>
    <w:basedOn w:val="884"/>
    <w:uiPriority w:val="99"/>
    <w:semiHidden/>
    <w:unhideWhenUsed/>
    <w:qFormat/>
    <w:pPr>
      <w:pBdr/>
      <w:spacing/>
      <w:ind/>
    </w:pPr>
    <w:rPr>
      <w:vertAlign w:val="superscript"/>
    </w:rPr>
  </w:style>
  <w:style w:type="character" w:styleId="876">
    <w:name w:val="Znaki przypisów dolnych"/>
    <w:qFormat/>
    <w:pPr>
      <w:pBdr/>
      <w:spacing/>
      <w:ind/>
    </w:pPr>
    <w:rPr>
      <w:vertAlign w:val="superscript"/>
    </w:rPr>
  </w:style>
  <w:style w:type="character" w:styleId="877">
    <w:name w:val="footnote reference"/>
    <w:pPr>
      <w:pBdr/>
      <w:spacing/>
      <w:ind/>
    </w:pPr>
    <w:rPr>
      <w:vertAlign w:val="superscript"/>
    </w:rPr>
  </w:style>
  <w:style w:type="character" w:styleId="878">
    <w:name w:val="Endnote Text Char"/>
    <w:basedOn w:val="884"/>
    <w:uiPriority w:val="99"/>
    <w:semiHidden/>
    <w:qFormat/>
    <w:pPr>
      <w:pBdr/>
      <w:spacing/>
      <w:ind/>
    </w:pPr>
    <w:rPr>
      <w:sz w:val="20"/>
      <w:szCs w:val="20"/>
    </w:rPr>
  </w:style>
  <w:style w:type="character" w:styleId="879">
    <w:name w:val="Znaki przypisów końcowych (user)"/>
    <w:basedOn w:val="884"/>
    <w:uiPriority w:val="99"/>
    <w:semiHidden/>
    <w:unhideWhenUsed/>
    <w:qFormat/>
    <w:pPr>
      <w:pBdr/>
      <w:spacing/>
      <w:ind/>
    </w:pPr>
    <w:rPr>
      <w:vertAlign w:val="superscript"/>
    </w:rPr>
  </w:style>
  <w:style w:type="character" w:styleId="880">
    <w:name w:val="Znaki przypisów końcowych"/>
    <w:qFormat/>
    <w:pPr>
      <w:pBdr/>
      <w:spacing/>
      <w:ind/>
    </w:pPr>
    <w:rPr>
      <w:vertAlign w:val="superscript"/>
    </w:rPr>
  </w:style>
  <w:style w:type="character" w:styleId="881">
    <w:name w:val="endnote reference"/>
    <w:pPr>
      <w:pBdr/>
      <w:spacing/>
      <w:ind/>
    </w:pPr>
    <w:rPr>
      <w:vertAlign w:val="superscript"/>
    </w:rPr>
  </w:style>
  <w:style w:type="character" w:styleId="882">
    <w:name w:val="FollowedHyperlink"/>
    <w:basedOn w:val="884"/>
    <w:uiPriority w:val="99"/>
    <w:semiHidden/>
    <w:unhideWhenUsed/>
    <w:pPr>
      <w:pBdr/>
      <w:spacing/>
      <w:ind/>
    </w:pPr>
    <w:rPr>
      <w:color w:val="954f72" w:themeColor="followedHyperlink"/>
      <w:u w:val="single"/>
    </w:rPr>
  </w:style>
  <w:style w:type="character" w:styleId="883">
    <w:name w:val="Placeholder Text"/>
    <w:basedOn w:val="884"/>
    <w:uiPriority w:val="99"/>
    <w:semiHidden/>
    <w:qFormat/>
    <w:pPr>
      <w:pBdr/>
      <w:spacing/>
      <w:ind/>
    </w:pPr>
    <w:rPr>
      <w:color w:val="666666"/>
    </w:rPr>
  </w:style>
  <w:style w:type="character" w:styleId="884" w:default="1">
    <w:name w:val="Default Paragraph Font"/>
    <w:uiPriority w:val="1"/>
    <w:semiHidden/>
    <w:unhideWhenUsed/>
    <w:qFormat/>
    <w:pPr>
      <w:pBdr/>
      <w:spacing/>
      <w:ind/>
    </w:pPr>
  </w:style>
  <w:style w:type="character" w:styleId="885" w:customStyle="1">
    <w:name w:val="Nagłówek 1 Znak"/>
    <w:basedOn w:val="884"/>
    <w:uiPriority w:val="9"/>
    <w:qFormat/>
    <w:pPr>
      <w:pBdr/>
      <w:spacing/>
      <w:ind/>
    </w:pPr>
    <w:rPr>
      <w:rFonts w:ascii="Calibri Light" w:hAnsi="Calibri Light" w:eastAsia="Arial" w:cs="Arial" w:asciiTheme="majorHAnsi" w:hAnsiTheme="majorHAnsi" w:eastAsiaTheme="majorEastAsia" w:cstheme="majorBidi"/>
      <w:color w:val="2f5496" w:themeColor="accent1" w:themeShade="BF"/>
      <w:sz w:val="40"/>
      <w:szCs w:val="40"/>
    </w:rPr>
  </w:style>
  <w:style w:type="character" w:styleId="886" w:customStyle="1">
    <w:name w:val="Nagłówek 2 Znak"/>
    <w:basedOn w:val="884"/>
    <w:uiPriority w:val="9"/>
    <w:semiHidden/>
    <w:qFormat/>
    <w:pPr>
      <w:pBdr/>
      <w:spacing/>
      <w:ind/>
    </w:pPr>
    <w:rPr>
      <w:rFonts w:ascii="Calibri Light" w:hAnsi="Calibri Light" w:eastAsia="Arial" w:cs="Arial" w:asciiTheme="majorHAnsi" w:hAnsiTheme="majorHAnsi" w:eastAsiaTheme="majorEastAsia" w:cstheme="majorBidi"/>
      <w:color w:val="2f5496" w:themeColor="accent1" w:themeShade="BF"/>
      <w:sz w:val="32"/>
      <w:szCs w:val="32"/>
    </w:rPr>
  </w:style>
  <w:style w:type="character" w:styleId="887" w:customStyle="1">
    <w:name w:val="Nagłówek 3 Znak"/>
    <w:basedOn w:val="884"/>
    <w:uiPriority w:val="9"/>
    <w:semiHidden/>
    <w:qFormat/>
    <w:pPr>
      <w:pBdr/>
      <w:spacing/>
      <w:ind/>
    </w:pPr>
    <w:rPr>
      <w:rFonts w:eastAsia="Arial" w:cs="Arial" w:eastAsiaTheme="majorEastAsia" w:cstheme="majorBidi"/>
      <w:color w:val="2f5496" w:themeColor="accent1" w:themeShade="BF"/>
      <w:sz w:val="28"/>
      <w:szCs w:val="28"/>
    </w:rPr>
  </w:style>
  <w:style w:type="character" w:styleId="888" w:customStyle="1">
    <w:name w:val="Nagłówek 4 Znak"/>
    <w:basedOn w:val="884"/>
    <w:uiPriority w:val="9"/>
    <w:semiHidden/>
    <w:qFormat/>
    <w:pPr>
      <w:pBdr/>
      <w:spacing/>
      <w:ind/>
    </w:pPr>
    <w:rPr>
      <w:rFonts w:eastAsia="Arial" w:cs="Arial" w:eastAsiaTheme="majorEastAsia" w:cstheme="majorBidi"/>
      <w:i/>
      <w:iCs/>
      <w:color w:val="2f5496" w:themeColor="accent1" w:themeShade="BF"/>
    </w:rPr>
  </w:style>
  <w:style w:type="character" w:styleId="889" w:customStyle="1">
    <w:name w:val="Nagłówek 5 Znak"/>
    <w:basedOn w:val="884"/>
    <w:uiPriority w:val="9"/>
    <w:semiHidden/>
    <w:qFormat/>
    <w:pPr>
      <w:pBdr/>
      <w:spacing/>
      <w:ind/>
    </w:pPr>
    <w:rPr>
      <w:rFonts w:eastAsia="Arial" w:cs="Arial" w:eastAsiaTheme="majorEastAsia" w:cstheme="majorBidi"/>
      <w:color w:val="2f5496" w:themeColor="accent1" w:themeShade="BF"/>
    </w:rPr>
  </w:style>
  <w:style w:type="character" w:styleId="890" w:customStyle="1">
    <w:name w:val="Nagłówek 6 Znak"/>
    <w:basedOn w:val="884"/>
    <w:uiPriority w:val="9"/>
    <w:semiHidden/>
    <w:qFormat/>
    <w:pPr>
      <w:pBdr/>
      <w:spacing/>
      <w:ind/>
    </w:pPr>
    <w:rPr>
      <w:rFonts w:eastAsia="Arial" w:cs="Arial" w:eastAsiaTheme="majorEastAsia" w:cstheme="majorBidi"/>
      <w:i/>
      <w:iCs/>
      <w:color w:val="595959" w:themeColor="text1" w:themeTint="A6"/>
    </w:rPr>
  </w:style>
  <w:style w:type="character" w:styleId="891" w:customStyle="1">
    <w:name w:val="Nagłówek 7 Znak"/>
    <w:basedOn w:val="884"/>
    <w:uiPriority w:val="9"/>
    <w:semiHidden/>
    <w:qFormat/>
    <w:pPr>
      <w:pBdr/>
      <w:spacing/>
      <w:ind/>
    </w:pPr>
    <w:rPr>
      <w:rFonts w:eastAsia="Arial" w:cs="Arial" w:eastAsiaTheme="majorEastAsia" w:cstheme="majorBidi"/>
      <w:color w:val="595959" w:themeColor="text1" w:themeTint="A6"/>
    </w:rPr>
  </w:style>
  <w:style w:type="character" w:styleId="892" w:customStyle="1">
    <w:name w:val="Nagłówek 8 Znak"/>
    <w:basedOn w:val="884"/>
    <w:uiPriority w:val="9"/>
    <w:semiHidden/>
    <w:qFormat/>
    <w:pPr>
      <w:pBdr/>
      <w:spacing/>
      <w:ind/>
    </w:pPr>
    <w:rPr>
      <w:rFonts w:eastAsia="Arial" w:cs="Arial" w:eastAsiaTheme="majorEastAsia" w:cstheme="majorBidi"/>
      <w:i/>
      <w:iCs/>
      <w:color w:val="272727" w:themeColor="text1" w:themeTint="D8"/>
    </w:rPr>
  </w:style>
  <w:style w:type="character" w:styleId="893" w:customStyle="1">
    <w:name w:val="Nagłówek 9 Znak"/>
    <w:basedOn w:val="884"/>
    <w:uiPriority w:val="9"/>
    <w:semiHidden/>
    <w:qFormat/>
    <w:pPr>
      <w:pBdr/>
      <w:spacing/>
      <w:ind/>
    </w:pPr>
    <w:rPr>
      <w:rFonts w:eastAsia="Arial" w:cs="Arial" w:eastAsiaTheme="majorEastAsia" w:cstheme="majorBidi"/>
      <w:color w:val="272727" w:themeColor="text1" w:themeTint="D8"/>
    </w:rPr>
  </w:style>
  <w:style w:type="character" w:styleId="894" w:customStyle="1">
    <w:name w:val="Tytuł Znak"/>
    <w:basedOn w:val="884"/>
    <w:uiPriority w:val="10"/>
    <w:qFormat/>
    <w:pPr>
      <w:pBdr/>
      <w:spacing/>
      <w:ind/>
    </w:pPr>
    <w:rPr>
      <w:rFonts w:ascii="Calibri Light" w:hAnsi="Calibri Light" w:eastAsia="Arial" w:cs="Arial" w:asciiTheme="majorHAnsi" w:hAnsiTheme="majorHAnsi" w:eastAsiaTheme="majorEastAsia" w:cstheme="majorBidi"/>
      <w:spacing w:val="-10"/>
      <w:sz w:val="56"/>
      <w:szCs w:val="56"/>
    </w:rPr>
  </w:style>
  <w:style w:type="character" w:styleId="895" w:customStyle="1">
    <w:name w:val="Podtytuł Znak"/>
    <w:basedOn w:val="884"/>
    <w:uiPriority w:val="11"/>
    <w:qFormat/>
    <w:pPr>
      <w:pBdr/>
      <w:spacing/>
      <w:ind/>
    </w:pPr>
    <w:rPr>
      <w:rFonts w:eastAsia="Arial" w:cs="Arial" w:eastAsiaTheme="majorEastAsia" w:cstheme="majorBidi"/>
      <w:color w:val="595959" w:themeColor="text1" w:themeTint="A6"/>
      <w:spacing w:val="15"/>
      <w:sz w:val="28"/>
      <w:szCs w:val="28"/>
    </w:rPr>
  </w:style>
  <w:style w:type="character" w:styleId="896" w:customStyle="1">
    <w:name w:val="Cytat Znak"/>
    <w:basedOn w:val="884"/>
    <w:link w:val="929"/>
    <w:uiPriority w:val="29"/>
    <w:qFormat/>
    <w:pPr>
      <w:pBdr/>
      <w:spacing/>
      <w:ind/>
    </w:pPr>
    <w:rPr>
      <w:i/>
      <w:iCs/>
      <w:color w:val="404040" w:themeColor="text1" w:themeTint="BF"/>
    </w:rPr>
  </w:style>
  <w:style w:type="character" w:styleId="897">
    <w:name w:val="Intense Emphasis"/>
    <w:basedOn w:val="884"/>
    <w:uiPriority w:val="21"/>
    <w:qFormat/>
    <w:pPr>
      <w:pBdr/>
      <w:spacing/>
      <w:ind/>
    </w:pPr>
    <w:rPr>
      <w:i/>
      <w:iCs/>
      <w:color w:val="2f5496" w:themeColor="accent1" w:themeShade="BF"/>
    </w:rPr>
  </w:style>
  <w:style w:type="character" w:styleId="898" w:customStyle="1">
    <w:name w:val="Cytat intensywny Znak"/>
    <w:basedOn w:val="884"/>
    <w:link w:val="931"/>
    <w:uiPriority w:val="30"/>
    <w:qFormat/>
    <w:pPr>
      <w:pBdr/>
      <w:spacing/>
      <w:ind/>
    </w:pPr>
    <w:rPr>
      <w:i/>
      <w:iCs/>
      <w:color w:val="2f5496" w:themeColor="accent1" w:themeShade="BF"/>
    </w:rPr>
  </w:style>
  <w:style w:type="character" w:styleId="899">
    <w:name w:val="Intense Reference"/>
    <w:basedOn w:val="884"/>
    <w:uiPriority w:val="32"/>
    <w:qFormat/>
    <w:pPr>
      <w:pBdr/>
      <w:spacing/>
      <w:ind/>
    </w:pPr>
    <w:rPr>
      <w:b/>
      <w:bCs/>
      <w:smallCaps/>
      <w:color w:val="2f5496" w:themeColor="accent1" w:themeShade="BF"/>
      <w:spacing w:val="5"/>
    </w:rPr>
  </w:style>
  <w:style w:type="character" w:styleId="900" w:customStyle="1">
    <w:name w:val="Nagłówek Znak"/>
    <w:basedOn w:val="884"/>
    <w:uiPriority w:val="99"/>
    <w:qFormat/>
    <w:pPr>
      <w:pBdr/>
      <w:spacing/>
      <w:ind/>
    </w:pPr>
    <w:rPr>
      <w:rFonts w:ascii="Times New Roman" w:hAnsi="Times New Roman" w:eastAsia="Times New Roman" w:cs="Times New Roman"/>
      <w:sz w:val="24"/>
      <w:szCs w:val="24"/>
      <w:lang w:eastAsia="zh-CN"/>
      <w14:ligatures w14:val="none"/>
    </w:rPr>
  </w:style>
  <w:style w:type="character" w:styleId="901" w:customStyle="1">
    <w:name w:val="Stopka Znak"/>
    <w:basedOn w:val="884"/>
    <w:uiPriority w:val="99"/>
    <w:qFormat/>
    <w:pPr>
      <w:pBdr/>
      <w:spacing/>
      <w:ind/>
    </w:pPr>
    <w:rPr>
      <w:rFonts w:ascii="Times New Roman" w:hAnsi="Times New Roman" w:eastAsia="Times New Roman" w:cs="Times New Roman"/>
      <w:sz w:val="24"/>
      <w:szCs w:val="24"/>
      <w:lang w:eastAsia="zh-CN"/>
      <w14:ligatures w14:val="none"/>
    </w:rPr>
  </w:style>
  <w:style w:type="character" w:styleId="902">
    <w:name w:val="Hyperlink"/>
    <w:basedOn w:val="884"/>
    <w:uiPriority w:val="99"/>
    <w:unhideWhenUsed/>
    <w:pPr>
      <w:pBdr/>
      <w:spacing/>
      <w:ind/>
    </w:pPr>
    <w:rPr>
      <w:color w:val="0563c1" w:themeColor="hyperlink"/>
      <w:u w:val="single"/>
    </w:rPr>
  </w:style>
  <w:style w:type="character" w:styleId="903">
    <w:name w:val="Unresolved Mention"/>
    <w:basedOn w:val="884"/>
    <w:uiPriority w:val="99"/>
    <w:semiHidden/>
    <w:unhideWhenUsed/>
    <w:qFormat/>
    <w:pPr>
      <w:pBdr/>
      <w:spacing/>
      <w:ind/>
    </w:pPr>
    <w:rPr>
      <w:color w:val="605e5c"/>
      <w:shd w:val="clear" w:color="auto" w:fill="e1dfdd"/>
    </w:rPr>
  </w:style>
  <w:style w:type="character" w:styleId="904">
    <w:name w:val="Subtle Emphasis"/>
    <w:basedOn w:val="884"/>
    <w:uiPriority w:val="19"/>
    <w:qFormat/>
    <w:pPr>
      <w:pBdr/>
      <w:spacing/>
      <w:ind/>
    </w:pPr>
    <w:rPr>
      <w:i/>
      <w:iCs/>
      <w:color w:val="404040" w:themeColor="text1" w:themeTint="BF"/>
    </w:rPr>
  </w:style>
  <w:style w:type="paragraph" w:styleId="905">
    <w:name w:val="Nagłówek"/>
    <w:basedOn w:val="845"/>
    <w:next w:val="906"/>
    <w:qFormat/>
    <w:pPr>
      <w:keepNext w:val="true"/>
      <w:pBdr/>
      <w:spacing w:after="120" w:before="240"/>
      <w:ind/>
    </w:pPr>
    <w:rPr>
      <w:rFonts w:ascii="Liberation Sans" w:hAnsi="Liberation Sans" w:eastAsia="Microsoft YaHei" w:cs="Arial"/>
      <w:sz w:val="28"/>
      <w:szCs w:val="28"/>
    </w:rPr>
  </w:style>
  <w:style w:type="paragraph" w:styleId="906">
    <w:name w:val="Body Text"/>
    <w:basedOn w:val="845"/>
    <w:pPr>
      <w:pBdr/>
      <w:spacing w:after="140" w:before="0" w:line="276" w:lineRule="auto"/>
      <w:ind/>
    </w:pPr>
  </w:style>
  <w:style w:type="paragraph" w:styleId="907">
    <w:name w:val="List"/>
    <w:basedOn w:val="906"/>
    <w:pPr>
      <w:pBdr/>
      <w:spacing/>
      <w:ind/>
    </w:pPr>
    <w:rPr>
      <w:rFonts w:cs="Arial"/>
    </w:rPr>
  </w:style>
  <w:style w:type="paragraph" w:styleId="908">
    <w:name w:val="Caption"/>
    <w:basedOn w:val="845"/>
    <w:next w:val="845"/>
    <w:uiPriority w:val="35"/>
    <w:unhideWhenUsed/>
    <w:qFormat/>
    <w:pPr>
      <w:pBdr/>
      <w:spacing w:after="200" w:before="0" w:line="240" w:lineRule="auto"/>
      <w:ind/>
    </w:pPr>
    <w:rPr>
      <w:i/>
      <w:iCs/>
      <w:color w:val="0e2841" w:themeColor="text2"/>
      <w:sz w:val="18"/>
      <w:szCs w:val="18"/>
    </w:rPr>
  </w:style>
  <w:style w:type="paragraph" w:styleId="909">
    <w:name w:val="Indeks"/>
    <w:basedOn w:val="845"/>
    <w:qFormat/>
    <w:pPr>
      <w:suppressLineNumbers w:val="true"/>
      <w:pBdr/>
      <w:spacing/>
      <w:ind/>
    </w:pPr>
    <w:rPr>
      <w:rFonts w:cs="Arial"/>
    </w:rPr>
  </w:style>
  <w:style w:type="paragraph" w:styleId="910">
    <w:name w:val="Nagłówek (user)"/>
    <w:basedOn w:val="845"/>
    <w:next w:val="906"/>
    <w:qFormat/>
    <w:pPr>
      <w:keepNext w:val="true"/>
      <w:pBdr/>
      <w:spacing w:after="120" w:before="240"/>
      <w:ind/>
    </w:pPr>
    <w:rPr>
      <w:rFonts w:ascii="Liberation Sans" w:hAnsi="Liberation Sans" w:eastAsia="Microsoft YaHei" w:cs="Arial"/>
      <w:sz w:val="28"/>
      <w:szCs w:val="28"/>
    </w:rPr>
  </w:style>
  <w:style w:type="paragraph" w:styleId="911">
    <w:name w:val="Indeks (user)"/>
    <w:basedOn w:val="845"/>
    <w:qFormat/>
    <w:pPr>
      <w:suppressLineNumbers w:val="true"/>
      <w:pBdr/>
      <w:spacing/>
      <w:ind/>
    </w:pPr>
    <w:rPr>
      <w:rFonts w:cs="Arial"/>
    </w:rPr>
  </w:style>
  <w:style w:type="paragraph" w:styleId="912">
    <w:name w:val="No Spacing"/>
    <w:basedOn w:val="845"/>
    <w:uiPriority w:val="1"/>
    <w:qFormat/>
    <w:pPr>
      <w:pBdr/>
      <w:spacing w:after="0" w:before="0" w:line="240" w:lineRule="auto"/>
      <w:ind/>
    </w:pPr>
  </w:style>
  <w:style w:type="paragraph" w:styleId="913">
    <w:name w:val="footnote text"/>
    <w:basedOn w:val="845"/>
    <w:link w:val="874"/>
    <w:uiPriority w:val="99"/>
    <w:semiHidden/>
    <w:unhideWhenUsed/>
    <w:pPr>
      <w:pBdr/>
      <w:spacing w:after="0" w:before="0" w:line="240" w:lineRule="auto"/>
      <w:ind/>
    </w:pPr>
    <w:rPr>
      <w:sz w:val="20"/>
      <w:szCs w:val="20"/>
    </w:rPr>
  </w:style>
  <w:style w:type="paragraph" w:styleId="914">
    <w:name w:val="endnote text"/>
    <w:basedOn w:val="845"/>
    <w:link w:val="878"/>
    <w:uiPriority w:val="99"/>
    <w:semiHidden/>
    <w:unhideWhenUsed/>
    <w:pPr>
      <w:pBdr/>
      <w:spacing w:after="0" w:before="0" w:line="240" w:lineRule="auto"/>
      <w:ind/>
    </w:pPr>
    <w:rPr>
      <w:sz w:val="20"/>
      <w:szCs w:val="20"/>
    </w:rPr>
  </w:style>
  <w:style w:type="paragraph" w:styleId="915">
    <w:name w:val="toc 1"/>
    <w:basedOn w:val="845"/>
    <w:next w:val="845"/>
    <w:uiPriority w:val="39"/>
    <w:unhideWhenUsed/>
    <w:pPr>
      <w:pBdr/>
      <w:spacing w:after="100" w:before="0"/>
      <w:ind/>
    </w:pPr>
  </w:style>
  <w:style w:type="paragraph" w:styleId="916">
    <w:name w:val="toc 2"/>
    <w:basedOn w:val="845"/>
    <w:next w:val="845"/>
    <w:uiPriority w:val="39"/>
    <w:unhideWhenUsed/>
    <w:pPr>
      <w:pBdr/>
      <w:spacing w:after="100" w:before="0"/>
      <w:ind w:left="220"/>
    </w:pPr>
  </w:style>
  <w:style w:type="paragraph" w:styleId="917">
    <w:name w:val="toc 3"/>
    <w:basedOn w:val="845"/>
    <w:next w:val="845"/>
    <w:uiPriority w:val="39"/>
    <w:unhideWhenUsed/>
    <w:pPr>
      <w:pBdr/>
      <w:spacing w:after="100" w:before="0"/>
      <w:ind w:left="440"/>
    </w:pPr>
  </w:style>
  <w:style w:type="paragraph" w:styleId="918">
    <w:name w:val="toc 4"/>
    <w:basedOn w:val="845"/>
    <w:next w:val="845"/>
    <w:uiPriority w:val="39"/>
    <w:unhideWhenUsed/>
    <w:pPr>
      <w:pBdr/>
      <w:spacing w:after="100" w:before="0"/>
      <w:ind w:left="660"/>
    </w:pPr>
  </w:style>
  <w:style w:type="paragraph" w:styleId="919">
    <w:name w:val="toc 5"/>
    <w:basedOn w:val="845"/>
    <w:next w:val="845"/>
    <w:uiPriority w:val="39"/>
    <w:unhideWhenUsed/>
    <w:pPr>
      <w:pBdr/>
      <w:spacing w:after="100" w:before="0"/>
      <w:ind w:left="880"/>
    </w:pPr>
  </w:style>
  <w:style w:type="paragraph" w:styleId="920">
    <w:name w:val="toc 6"/>
    <w:basedOn w:val="845"/>
    <w:next w:val="845"/>
    <w:uiPriority w:val="39"/>
    <w:unhideWhenUsed/>
    <w:pPr>
      <w:pBdr/>
      <w:spacing w:after="100" w:before="0"/>
      <w:ind w:left="1100"/>
    </w:pPr>
  </w:style>
  <w:style w:type="paragraph" w:styleId="921">
    <w:name w:val="toc 7"/>
    <w:basedOn w:val="845"/>
    <w:next w:val="845"/>
    <w:uiPriority w:val="39"/>
    <w:unhideWhenUsed/>
    <w:pPr>
      <w:pBdr/>
      <w:spacing w:after="100" w:before="0"/>
      <w:ind w:left="1320"/>
    </w:pPr>
  </w:style>
  <w:style w:type="paragraph" w:styleId="922">
    <w:name w:val="toc 8"/>
    <w:basedOn w:val="845"/>
    <w:next w:val="845"/>
    <w:uiPriority w:val="39"/>
    <w:unhideWhenUsed/>
    <w:pPr>
      <w:pBdr/>
      <w:spacing w:after="100" w:before="0"/>
      <w:ind w:left="1540"/>
    </w:pPr>
  </w:style>
  <w:style w:type="paragraph" w:styleId="923">
    <w:name w:val="toc 9"/>
    <w:basedOn w:val="845"/>
    <w:next w:val="845"/>
    <w:uiPriority w:val="39"/>
    <w:unhideWhenUsed/>
    <w:pPr>
      <w:pBdr/>
      <w:spacing w:after="100" w:before="0"/>
      <w:ind w:left="1760"/>
    </w:pPr>
  </w:style>
  <w:style w:type="paragraph" w:styleId="924">
    <w:name w:val="index heading"/>
    <w:basedOn w:val="910"/>
    <w:pPr>
      <w:pBdr/>
      <w:spacing/>
      <w:ind/>
    </w:pPr>
  </w:style>
  <w:style w:type="paragraph" w:styleId="925">
    <w:name w:val="TOC Heading"/>
    <w:uiPriority w:val="39"/>
    <w:unhideWhenUsed/>
    <w:qFormat/>
    <w:pPr>
      <w:widowControl w:val="true"/>
      <w:pBdr/>
      <w:bidi w:val="false"/>
      <w:spacing w:after="160" w:afterAutospacing="0" w:before="0" w:beforeAutospacing="0" w:line="259" w:lineRule="auto"/>
      <w:ind/>
      <w:jc w:val="left"/>
    </w:pPr>
    <w:rPr>
      <w:rFonts w:ascii="Calibri" w:hAnsi="Calibri" w:eastAsia="Calibri" w:cs="Arial" w:asciiTheme="minorHAnsi" w:hAnsiTheme="minorHAnsi" w:eastAsiaTheme="minorHAnsi" w:cstheme="minorBidi"/>
      <w:color w:val="auto"/>
      <w:sz w:val="22"/>
      <w:szCs w:val="22"/>
      <w:lang w:val="pl-PL" w:eastAsia="en-US" w:bidi="ar-SA"/>
      <w14:ligatures w14:val="standardContextual"/>
    </w:rPr>
  </w:style>
  <w:style w:type="paragraph" w:styleId="926">
    <w:name w:val="table of figures"/>
    <w:basedOn w:val="845"/>
    <w:next w:val="845"/>
    <w:uiPriority w:val="99"/>
    <w:unhideWhenUsed/>
    <w:pPr>
      <w:pBdr/>
      <w:spacing w:after="0" w:afterAutospacing="0" w:before="0"/>
      <w:ind/>
    </w:pPr>
  </w:style>
  <w:style w:type="paragraph" w:styleId="927">
    <w:name w:val="Title"/>
    <w:basedOn w:val="845"/>
    <w:next w:val="845"/>
    <w:link w:val="894"/>
    <w:uiPriority w:val="10"/>
    <w:qFormat/>
    <w:pPr>
      <w:pBdr/>
      <w:spacing w:after="80" w:before="0"/>
      <w:ind/>
      <w:contextualSpacing w:val="true"/>
    </w:pPr>
    <w:rPr>
      <w:rFonts w:ascii="Calibri Light" w:hAnsi="Calibri Light" w:eastAsia="Arial" w:cs="Arial" w:asciiTheme="majorHAnsi" w:hAnsiTheme="majorHAnsi" w:eastAsiaTheme="majorEastAsia" w:cstheme="majorBidi"/>
      <w:spacing w:val="-10"/>
      <w:sz w:val="56"/>
      <w:szCs w:val="56"/>
      <w:lang w:eastAsia="en-US"/>
      <w14:ligatures w14:val="standardContextual"/>
    </w:rPr>
  </w:style>
  <w:style w:type="paragraph" w:styleId="928">
    <w:name w:val="Subtitle"/>
    <w:basedOn w:val="845"/>
    <w:next w:val="845"/>
    <w:link w:val="895"/>
    <w:uiPriority w:val="11"/>
    <w:qFormat/>
    <w:pPr>
      <w:pBdr/>
      <w:spacing w:after="160" w:before="0" w:line="259" w:lineRule="auto"/>
      <w:ind/>
    </w:pPr>
    <w:rPr>
      <w:rFonts w:ascii="Calibri" w:hAnsi="Calibri" w:eastAsia="Arial" w:cs="Arial" w:asciiTheme="minorHAnsi" w:hAnsiTheme="minorHAnsi" w:eastAsiaTheme="majorEastAsia" w:cstheme="majorBidi"/>
      <w:color w:val="595959" w:themeColor="text1" w:themeTint="A6"/>
      <w:spacing w:val="15"/>
      <w:sz w:val="28"/>
      <w:szCs w:val="28"/>
      <w:lang w:eastAsia="en-US"/>
      <w14:ligatures w14:val="standardContextual"/>
    </w:rPr>
  </w:style>
  <w:style w:type="paragraph" w:styleId="929">
    <w:name w:val="Quote"/>
    <w:basedOn w:val="845"/>
    <w:next w:val="845"/>
    <w:link w:val="896"/>
    <w:uiPriority w:val="29"/>
    <w:qFormat/>
    <w:pPr>
      <w:pBdr/>
      <w:spacing w:after="160" w:before="160" w:line="259" w:lineRule="auto"/>
      <w:ind/>
      <w:jc w:val="center"/>
    </w:pPr>
    <w:rPr>
      <w:rFonts w:ascii="Calibri" w:hAnsi="Calibri" w:eastAsia="Calibri" w:cs="Arial" w:asciiTheme="minorHAnsi" w:hAnsiTheme="minorHAnsi" w:eastAsiaTheme="minorHAnsi" w:cstheme="minorBidi"/>
      <w:i/>
      <w:iCs/>
      <w:color w:val="404040" w:themeColor="text1" w:themeTint="BF"/>
      <w:sz w:val="22"/>
      <w:szCs w:val="22"/>
      <w:lang w:eastAsia="en-US"/>
      <w14:ligatures w14:val="standardContextual"/>
    </w:rPr>
  </w:style>
  <w:style w:type="paragraph" w:styleId="930">
    <w:name w:val="List Paragraph"/>
    <w:basedOn w:val="845"/>
    <w:uiPriority w:val="99"/>
    <w:qFormat/>
    <w:pPr>
      <w:pBdr/>
      <w:spacing w:after="160" w:before="0" w:line="259" w:lineRule="auto"/>
      <w:ind w:left="720"/>
      <w:contextualSpacing w:val="true"/>
    </w:pPr>
    <w:rPr>
      <w:rFonts w:ascii="Calibri" w:hAnsi="Calibri" w:eastAsia="Calibri" w:cs="Arial" w:asciiTheme="minorHAnsi" w:hAnsiTheme="minorHAnsi" w:eastAsiaTheme="minorHAnsi" w:cstheme="minorBidi"/>
      <w:sz w:val="22"/>
      <w:szCs w:val="22"/>
      <w:lang w:eastAsia="en-US"/>
      <w14:ligatures w14:val="standardContextual"/>
    </w:rPr>
  </w:style>
  <w:style w:type="paragraph" w:styleId="931">
    <w:name w:val="Intense Quote"/>
    <w:basedOn w:val="845"/>
    <w:next w:val="845"/>
    <w:link w:val="898"/>
    <w:uiPriority w:val="30"/>
    <w:qFormat/>
    <w:pPr>
      <w:pBdr>
        <w:top w:val="single" w:color="2f5496" w:themeColor="accent1" w:themeShade="BF" w:sz="4" w:space="10"/>
        <w:bottom w:val="single" w:color="2f5496" w:themeColor="accent1" w:themeShade="BF" w:sz="4" w:space="10"/>
      </w:pBdr>
      <w:spacing w:after="360" w:before="360" w:line="259" w:lineRule="auto"/>
      <w:ind w:right="864" w:left="864"/>
      <w:jc w:val="center"/>
    </w:pPr>
    <w:rPr>
      <w:rFonts w:ascii="Calibri" w:hAnsi="Calibri" w:eastAsia="Calibri" w:cs="Arial" w:asciiTheme="minorHAnsi" w:hAnsiTheme="minorHAnsi" w:eastAsiaTheme="minorHAnsi" w:cstheme="minorBidi"/>
      <w:i/>
      <w:iCs/>
      <w:color w:val="2f5496" w:themeColor="accent1" w:themeShade="BF"/>
      <w:sz w:val="22"/>
      <w:szCs w:val="22"/>
      <w:lang w:eastAsia="en-US"/>
      <w14:ligatures w14:val="standardContextual"/>
    </w:rPr>
  </w:style>
  <w:style w:type="paragraph" w:styleId="932">
    <w:name w:val="Główka i stopka (user)"/>
    <w:basedOn w:val="845"/>
    <w:qFormat/>
    <w:pPr>
      <w:pBdr/>
      <w:spacing/>
      <w:ind/>
    </w:pPr>
  </w:style>
  <w:style w:type="paragraph" w:styleId="933">
    <w:name w:val="Główka i stopka"/>
    <w:basedOn w:val="845"/>
    <w:qFormat/>
    <w:pPr>
      <w:pBdr/>
      <w:spacing/>
      <w:ind/>
    </w:pPr>
  </w:style>
  <w:style w:type="paragraph" w:styleId="934">
    <w:name w:val="Header"/>
    <w:basedOn w:val="845"/>
    <w:link w:val="900"/>
    <w:uiPriority w:val="99"/>
    <w:unhideWhenUsed/>
    <w:pPr>
      <w:pBdr/>
      <w:tabs>
        <w:tab w:val="clear" w:leader="none" w:pos="708"/>
        <w:tab w:val="center" w:leader="none" w:pos="4536"/>
        <w:tab w:val="right" w:leader="none" w:pos="9072"/>
      </w:tabs>
      <w:spacing/>
      <w:ind/>
    </w:pPr>
  </w:style>
  <w:style w:type="paragraph" w:styleId="935">
    <w:name w:val="Footer"/>
    <w:basedOn w:val="845"/>
    <w:link w:val="901"/>
    <w:uiPriority w:val="99"/>
    <w:unhideWhenUsed/>
    <w:pPr>
      <w:pBdr/>
      <w:tabs>
        <w:tab w:val="clear" w:leader="none" w:pos="708"/>
        <w:tab w:val="center" w:leader="none" w:pos="4536"/>
        <w:tab w:val="right" w:leader="none" w:pos="9072"/>
      </w:tabs>
      <w:spacing/>
      <w:ind/>
    </w:pPr>
  </w:style>
  <w:style w:type="numbering" w:styleId="936">
    <w:name w:val="Bez listy"/>
    <w:uiPriority w:val="99"/>
    <w:semiHidden/>
    <w:unhideWhenUsed/>
    <w:qFormat/>
    <w:pPr>
      <w:pBdr/>
      <w:spacing/>
      <w:ind/>
    </w:pPr>
  </w:style>
  <w:style w:type="numbering" w:styleId="937">
    <w:name w:val="Bez listy (user)"/>
    <w:uiPriority w:val="99"/>
    <w:semiHidden/>
    <w:unhideWhenUsed/>
    <w:qFormat/>
    <w:pPr>
      <w:pBdr/>
      <w:spacing/>
      <w:ind/>
    </w:pPr>
  </w:style>
  <w:style w:type="table" w:styleId="938">
    <w:name w:val="Table Grid"/>
    <w:basedOn w:val="1064"/>
    <w:uiPriority w:val="59"/>
    <w:pPr>
      <w:pBdr/>
      <w:spacing w:after="0" w:line="240" w:lineRule="auto"/>
      <w:ind/>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Table Grid Light"/>
    <w:basedOn w:val="1064"/>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1"/>
    <w:basedOn w:val="1064"/>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fill="f2f2f2" w:themeFill="text1" w:themeFillTint="00"/>
        <w:tcBorders/>
      </w:tcPr>
    </w:tblStylePr>
    <w:tblStylePr w:type="band1Vert">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2"/>
    <w:basedOn w:val="1064"/>
    <w:uiPriority w:val="59"/>
    <w:pPr>
      <w:pBdr/>
      <w:spacing w:after="0" w:line="240" w:lineRule="auto"/>
      <w:ind/>
    </w:pPr>
    <w:tblPr>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bottom w:val="single" w:color="000000" w:themeColor="text1"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3"/>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rPr>
      <w:pPr>
        <w:pBdr/>
        <w:spacing/>
        <w:ind/>
      </w:pPr>
      <w:tblPr>
        <w:tblBorders/>
      </w:tblPr>
      <w:tcPr>
        <w:tcBorders/>
      </w:tcPr>
    </w:tblStylePr>
    <w:tblStylePr w:type="lastRow">
      <w:rPr>
        <w:b/>
        <w:cap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Plain Table 4"/>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Plain Table 5"/>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shd w:val="clear" w:color="ffffff" w:fill="f2f2f2" w:themeFill="text1" w:themeFillTint="00"/>
        <w:tcBorders/>
      </w:tcPr>
    </w:tblStylePr>
    <w:tblStylePr w:type="band1Vert">
      <w:rPr>
        <w:sz w:val="22"/>
      </w:rPr>
      <w:pPr>
        <w:pBdr/>
        <w:spacing/>
        <w:ind/>
      </w:pPr>
      <w:tblPr>
        <w:tblBorders/>
      </w:tblPr>
      <w:tcPr>
        <w:shd w:val="clear" w:color="ffffff"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right w:val="single" w:color="404040" w:sz="4" w:space="0"/>
        </w:tcBorders>
      </w:tcPr>
    </w:tblStylePr>
    <w:tblStylePr w:type="firstRow">
      <w:rPr>
        <w:i/>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rPr>
      <w:pPr>
        <w:pBdr/>
        <w:spacing/>
        <w:ind/>
      </w:pPr>
      <w:tblPr>
        <w:tblBorders/>
      </w:tblPr>
      <w:tcPr>
        <w:shd w:val="clear" w:color="ffffff"/>
        <w:tcBorders>
          <w:left w:val="single" w:color="404040" w:sz="4" w:space="0"/>
        </w:tcBorders>
      </w:tcPr>
    </w:tblStylePr>
    <w:tblStylePr w:type="lastRow">
      <w:rPr>
        <w:i/>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w:basedOn w:val="1064"/>
    <w:uiPriority w:val="99"/>
    <w:pPr>
      <w:pBdr/>
      <w:spacing w:after="0" w:line="240" w:lineRule="auto"/>
      <w:ind/>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tex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 Accent 1"/>
    <w:basedOn w:val="1064"/>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 Accent 2"/>
    <w:basedOn w:val="1064"/>
    <w:uiPriority w:val="99"/>
    <w:pPr>
      <w:pBdr/>
      <w:spacing w:after="0" w:line="240" w:lineRule="auto"/>
      <w:ind/>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sz w:val="22"/>
      </w:rPr>
      <w:pPr>
        <w:pBdr/>
        <w:spacing/>
        <w:ind/>
      </w:pPr>
      <w:tblPr>
        <w:tblBorders/>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2"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 Accent 3"/>
    <w:basedOn w:val="1064"/>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 Accent 4"/>
    <w:basedOn w:val="1064"/>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1 Light - Accent 5"/>
    <w:basedOn w:val="1064"/>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 Accent 6"/>
    <w:basedOn w:val="1064"/>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w:basedOn w:val="1064"/>
    <w:uiPriority w:val="99"/>
    <w:pPr>
      <w:pBdr/>
      <w:spacing w:after="0" w:line="240" w:lineRule="auto"/>
      <w:ind/>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tex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 Accent 1"/>
    <w:basedOn w:val="1064"/>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9e2f3" w:themeFill="accent1" w:themeFillTint="34"/>
        <w:tcBorders/>
      </w:tcPr>
    </w:tblStylePr>
    <w:tblStylePr w:type="band1Vert">
      <w:rPr>
        <w:sz w:val="22"/>
      </w:rPr>
      <w:pPr>
        <w:pBdr/>
        <w:spacing/>
        <w:ind/>
      </w:pPr>
      <w:tblPr>
        <w:tblBorders/>
      </w:tblPr>
      <w:tcPr>
        <w:shd w:val="clear" w:color="ffffff"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 Accent 2"/>
    <w:basedOn w:val="1064"/>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be6d7" w:themeFill="accent2" w:themeFillTint="32"/>
        <w:tcBorders/>
      </w:tcPr>
    </w:tblStylePr>
    <w:tblStylePr w:type="band1Vert">
      <w:rPr>
        <w:sz w:val="22"/>
      </w:rPr>
      <w:pPr>
        <w:pBdr/>
        <w:spacing/>
        <w:ind/>
      </w:pPr>
      <w:tblPr>
        <w:tblBorders/>
      </w:tblPr>
      <w:tcPr>
        <w:shd w:val="clear" w:color="ffffff"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 Accent 3"/>
    <w:basedOn w:val="1064"/>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deded" w:themeFill="accent3" w:themeFillTint="34"/>
        <w:tcBorders/>
      </w:tcPr>
    </w:tblStylePr>
    <w:tblStylePr w:type="band1Vert">
      <w:rPr>
        <w:sz w:val="22"/>
      </w:rPr>
      <w:pPr>
        <w:pBdr/>
        <w:spacing/>
        <w:ind/>
      </w:pPr>
      <w:tblPr>
        <w:tblBorders/>
      </w:tblPr>
      <w:tcPr>
        <w:shd w:val="clear" w:color="ffffff"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 Accent 4"/>
    <w:basedOn w:val="1064"/>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fff2cb" w:themeFill="accent4" w:themeFillTint="34"/>
        <w:tcBorders/>
      </w:tcPr>
    </w:tblStylePr>
    <w:tblStylePr w:type="band1Vert">
      <w:rPr>
        <w:sz w:val="22"/>
      </w:rPr>
      <w:pPr>
        <w:pBdr/>
        <w:spacing/>
        <w:ind/>
      </w:pPr>
      <w:tblPr>
        <w:tblBorders/>
      </w:tblPr>
      <w:tcPr>
        <w:shd w:val="clear" w:color="ffffff"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2 - Accent 5"/>
    <w:basedOn w:val="1064"/>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eebf6" w:themeFill="accent5" w:themeFillTint="34"/>
        <w:tcBorders/>
      </w:tcPr>
    </w:tblStylePr>
    <w:tblStylePr w:type="band1Vert">
      <w:rPr>
        <w:sz w:val="22"/>
      </w:rPr>
      <w:pPr>
        <w:pBdr/>
        <w:spacing/>
        <w:ind/>
      </w:pPr>
      <w:tblPr>
        <w:tblBorders/>
      </w:tblPr>
      <w:tcPr>
        <w:shd w:val="clear" w:color="ffffff"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 Accent 6"/>
    <w:basedOn w:val="1064"/>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e2efd9" w:themeFill="accent6" w:themeFillTint="34"/>
        <w:tcBorders/>
      </w:tcPr>
    </w:tblStylePr>
    <w:tblStylePr w:type="band1Vert">
      <w:rPr>
        <w:sz w:val="22"/>
      </w:rPr>
      <w:pPr>
        <w:pBdr/>
        <w:spacing/>
        <w:ind/>
      </w:pPr>
      <w:tblPr>
        <w:tblBorders/>
      </w:tblPr>
      <w:tcPr>
        <w:shd w:val="clear" w:color="ffffff"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w:basedOn w:val="1064"/>
    <w:uiPriority w:val="99"/>
    <w:pPr>
      <w:pBdr/>
      <w:spacing w:after="0" w:line="240" w:lineRule="auto"/>
      <w:ind/>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 Accent 1"/>
    <w:basedOn w:val="1064"/>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9e2f3" w:themeFill="accent1" w:themeFillTint="34"/>
        <w:tcBorders/>
      </w:tcPr>
    </w:tblStylePr>
    <w:tblStylePr w:type="band1Vert">
      <w:rPr>
        <w:sz w:val="22"/>
      </w:rPr>
      <w:pPr>
        <w:pBdr/>
        <w:spacing/>
        <w:ind/>
      </w:pPr>
      <w:tblPr>
        <w:tblBorders/>
      </w:tblPr>
      <w:tcPr>
        <w:shd w:val="clear" w:color="ffffff"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 Accent 2"/>
    <w:basedOn w:val="1064"/>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be6d7" w:themeFill="accent2" w:themeFillTint="32"/>
        <w:tcBorders/>
      </w:tcPr>
    </w:tblStylePr>
    <w:tblStylePr w:type="band1Vert">
      <w:rPr>
        <w:sz w:val="22"/>
      </w:rPr>
      <w:pPr>
        <w:pBdr/>
        <w:spacing/>
        <w:ind/>
      </w:pPr>
      <w:tblPr>
        <w:tblBorders/>
      </w:tblPr>
      <w:tcPr>
        <w:shd w:val="clear" w:color="ffffff"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 Accent 3"/>
    <w:basedOn w:val="1064"/>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deded" w:themeFill="accent3" w:themeFillTint="34"/>
        <w:tcBorders/>
      </w:tcPr>
    </w:tblStylePr>
    <w:tblStylePr w:type="band1Vert">
      <w:rPr>
        <w:sz w:val="22"/>
      </w:rPr>
      <w:pPr>
        <w:pBdr/>
        <w:spacing/>
        <w:ind/>
      </w:pPr>
      <w:tblPr>
        <w:tblBorders/>
      </w:tblPr>
      <w:tcPr>
        <w:shd w:val="clear" w:color="ffffff"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 Accent 4"/>
    <w:basedOn w:val="1064"/>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fff2cb" w:themeFill="accent4" w:themeFillTint="34"/>
        <w:tcBorders/>
      </w:tcPr>
    </w:tblStylePr>
    <w:tblStylePr w:type="band1Vert">
      <w:rPr>
        <w:sz w:val="22"/>
      </w:rPr>
      <w:pPr>
        <w:pBdr/>
        <w:spacing/>
        <w:ind/>
      </w:pPr>
      <w:tblPr>
        <w:tblBorders/>
      </w:tblPr>
      <w:tcPr>
        <w:shd w:val="clear" w:color="ffffff"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3 - Accent 5"/>
    <w:basedOn w:val="1064"/>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eebf6" w:themeFill="accent5" w:themeFillTint="34"/>
        <w:tcBorders/>
      </w:tcPr>
    </w:tblStylePr>
    <w:tblStylePr w:type="band1Vert">
      <w:rPr>
        <w:sz w:val="22"/>
      </w:rPr>
      <w:pPr>
        <w:pBdr/>
        <w:spacing/>
        <w:ind/>
      </w:pPr>
      <w:tblPr>
        <w:tblBorders/>
      </w:tblPr>
      <w:tcPr>
        <w:shd w:val="clear" w:color="ffffff"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 Accent 6"/>
    <w:basedOn w:val="1064"/>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e2efd9" w:themeFill="accent6" w:themeFillTint="34"/>
        <w:tcBorders/>
      </w:tcPr>
    </w:tblStylePr>
    <w:tblStylePr w:type="band1Vert">
      <w:rPr>
        <w:sz w:val="22"/>
      </w:rPr>
      <w:pPr>
        <w:pBdr/>
        <w:spacing/>
        <w:ind/>
      </w:pPr>
      <w:tblPr>
        <w:tblBorders/>
      </w:tblPr>
      <w:tcPr>
        <w:shd w:val="clear" w:color="ffffff"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w:basedOn w:val="1064"/>
    <w:uiPriority w:val="59"/>
    <w:pPr>
      <w:pBdr/>
      <w:spacing w:after="0" w:line="240" w:lineRule="auto"/>
      <w:ind/>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sz w:val="22"/>
      </w:rPr>
      <w:pPr>
        <w:pBdr/>
        <w:spacing/>
        <w:ind/>
      </w:pPr>
      <w:tblPr>
        <w:tblBorders/>
      </w:tblPr>
      <w:tcPr>
        <w:shd w:val="clear" w:color="ffffff" w:fill="cbcbcb" w:themeFill="text1" w:themeFillTint="34"/>
        <w:tcBorders/>
      </w:tcPr>
    </w:tblStylePr>
    <w:tblStylePr w:type="band1Vert">
      <w:rPr>
        <w:sz w:val="22"/>
      </w:rPr>
      <w:pPr>
        <w:pBdr/>
        <w:spacing/>
        <w:ind/>
      </w:pPr>
      <w:tblPr>
        <w:tblBorders/>
      </w:tblPr>
      <w:tcPr>
        <w:shd w:val="clear" w:color="ffffff"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 Accent 1"/>
    <w:basedOn w:val="1064"/>
    <w:uiPriority w:val="5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sz w:val="22"/>
      </w:rPr>
      <w:pPr>
        <w:pBdr/>
        <w:spacing/>
        <w:ind/>
      </w:pPr>
      <w:tblPr>
        <w:tblBorders/>
      </w:tblPr>
      <w:tcPr>
        <w:shd w:val="clear" w:color="ffffff" w:fill="dae3f3" w:themeFill="accent1" w:themeFillTint="32"/>
        <w:tcBorders/>
      </w:tcPr>
    </w:tblStylePr>
    <w:tblStylePr w:type="band1Vert">
      <w:rPr>
        <w:sz w:val="22"/>
      </w:rPr>
      <w:pPr>
        <w:pBdr/>
        <w:spacing/>
        <w:ind/>
      </w:pPr>
      <w:tblPr>
        <w:tblBorders/>
      </w:tblPr>
      <w:tcPr>
        <w:shd w:val="clear" w:color="ffffff"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37ec9"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 Accent 2"/>
    <w:basedOn w:val="1064"/>
    <w:uiPriority w:val="5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sz w:val="22"/>
      </w:rPr>
      <w:pPr>
        <w:pBdr/>
        <w:spacing/>
        <w:ind/>
      </w:pPr>
      <w:tblPr>
        <w:tblBorders/>
      </w:tblPr>
      <w:tcPr>
        <w:shd w:val="clear" w:color="ffffff" w:fill="fbe6d7" w:themeFill="accent2" w:themeFillTint="32"/>
        <w:tcBorders/>
      </w:tcPr>
    </w:tblStylePr>
    <w:tblStylePr w:type="band1Vert">
      <w:rPr>
        <w:sz w:val="22"/>
      </w:rPr>
      <w:pPr>
        <w:pBdr/>
        <w:spacing/>
        <w:ind/>
      </w:pPr>
      <w:tblPr>
        <w:tblBorders/>
      </w:tblPr>
      <w:tcPr>
        <w:shd w:val="clear" w:color="ffffff"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4b285"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 Accent 3"/>
    <w:basedOn w:val="1064"/>
    <w:uiPriority w:val="5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sz w:val="22"/>
      </w:rPr>
      <w:pPr>
        <w:pBdr/>
        <w:spacing/>
        <w:ind/>
      </w:pPr>
      <w:tblPr>
        <w:tblBorders/>
      </w:tblPr>
      <w:tcPr>
        <w:shd w:val="clear" w:color="ffffff" w:fill="ededed" w:themeFill="accent3" w:themeFillTint="34"/>
        <w:tcBorders/>
      </w:tcPr>
    </w:tblStylePr>
    <w:tblStylePr w:type="band1Vert">
      <w:rPr>
        <w:sz w:val="22"/>
      </w:rPr>
      <w:pPr>
        <w:pBdr/>
        <w:spacing/>
        <w:ind/>
      </w:pPr>
      <w:tblPr>
        <w:tblBorders/>
      </w:tblPr>
      <w:tcPr>
        <w:shd w:val="clear" w:color="ffffff"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a5a5a5"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 Accent 4"/>
    <w:basedOn w:val="1064"/>
    <w:uiPriority w:val="5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sz w:val="22"/>
      </w:rPr>
      <w:pPr>
        <w:pBdr/>
        <w:spacing/>
        <w:ind/>
      </w:pPr>
      <w:tblPr>
        <w:tblBorders/>
      </w:tblPr>
      <w:tcPr>
        <w:shd w:val="clear" w:color="ffffff" w:fill="fff2cb" w:themeFill="accent4" w:themeFillTint="34"/>
        <w:tcBorders/>
      </w:tcPr>
    </w:tblStylePr>
    <w:tblStylePr w:type="band1Vert">
      <w:rPr>
        <w:sz w:val="22"/>
      </w:rPr>
      <w:pPr>
        <w:pBdr/>
        <w:spacing/>
        <w:ind/>
      </w:pPr>
      <w:tblPr>
        <w:tblBorders/>
      </w:tblPr>
      <w:tcPr>
        <w:shd w:val="clear" w:color="ffffff"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fd965"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4 - Accent 5"/>
    <w:basedOn w:val="1064"/>
    <w:uiPriority w:val="5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sz w:val="22"/>
      </w:rPr>
      <w:pPr>
        <w:pBdr/>
        <w:spacing/>
        <w:ind/>
      </w:pPr>
      <w:tblPr>
        <w:tblBorders/>
      </w:tblPr>
      <w:tcPr>
        <w:shd w:val="clear" w:color="ffffff" w:fill="deebf6" w:themeFill="accent5" w:themeFillTint="34"/>
        <w:tcBorders/>
      </w:tcPr>
    </w:tblStylePr>
    <w:tblStylePr w:type="band1Vert">
      <w:rPr>
        <w:sz w:val="22"/>
      </w:rPr>
      <w:pPr>
        <w:pBdr/>
        <w:spacing/>
        <w:ind/>
      </w:pPr>
      <w:tblPr>
        <w:tblBorders/>
      </w:tblPr>
      <w:tcPr>
        <w:shd w:val="clear" w:color="ffffff"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 Accent 6"/>
    <w:basedOn w:val="1064"/>
    <w:uiPriority w:val="5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sz w:val="22"/>
      </w:rPr>
      <w:pPr>
        <w:pBdr/>
        <w:spacing/>
        <w:ind/>
      </w:pPr>
      <w:tblPr>
        <w:tblBorders/>
      </w:tblPr>
      <w:tcPr>
        <w:shd w:val="clear" w:color="ffffff" w:fill="e2efd9" w:themeFill="accent6" w:themeFillTint="34"/>
        <w:tcBorders/>
      </w:tcPr>
    </w:tblStylePr>
    <w:tblStylePr w:type="band1Vert">
      <w:rPr>
        <w:sz w:val="22"/>
      </w:rPr>
      <w:pPr>
        <w:pBdr/>
        <w:spacing/>
        <w:ind/>
      </w:pPr>
      <w:tblPr>
        <w:tblBorders/>
      </w:tblPr>
      <w:tcPr>
        <w:shd w:val="clear" w:color="ffffff"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8a8a8a" w:themeFill="text1" w:themeFillTint="75"/>
        <w:tcBorders/>
      </w:tcPr>
    </w:tblStylePr>
    <w:tblStylePr w:type="band1Vert">
      <w:pPr>
        <w:pBdr/>
        <w:spacing/>
        <w:ind/>
      </w:pPr>
      <w:tblPr>
        <w:tblBorders/>
      </w:tblPr>
      <w:tcPr>
        <w:shd w:val="clear" w:color="ffffff"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000000" w:themeFill="text1"/>
        <w:tcBorders/>
      </w:tcPr>
    </w:tblStylePr>
    <w:tblStylePr w:type="firstRow">
      <w:rPr>
        <w:b/>
        <w:sz w:val="22"/>
      </w:rPr>
      <w:pPr>
        <w:pBdr/>
        <w:spacing/>
        <w:ind/>
      </w:pPr>
      <w:tblPr>
        <w:tblBorders/>
      </w:tblPr>
      <w:tcPr>
        <w:shd w:val="clear" w:color="ffffff" w:fill="000000" w:themeFill="text1"/>
        <w:tcBorders/>
      </w:tcPr>
    </w:tblStylePr>
    <w:tblStylePr w:type="lastCol">
      <w:rPr>
        <w:b/>
        <w:sz w:val="22"/>
      </w:rPr>
      <w:pPr>
        <w:pBdr/>
        <w:spacing/>
        <w:ind/>
      </w:pPr>
      <w:tblPr>
        <w:tblBorders/>
      </w:tblPr>
      <w:tcPr>
        <w:shd w:val="clear" w:color="ffffff" w:fill="000000" w:themeFill="text1"/>
        <w:tcBorders/>
      </w:tcPr>
    </w:tblStylePr>
    <w:tblStylePr w:type="lastRow">
      <w:rPr>
        <w:b/>
        <w:sz w:val="22"/>
      </w:rPr>
      <w:pPr>
        <w:pBdr/>
        <w:spacing/>
        <w:ind/>
      </w:pPr>
      <w:tblPr>
        <w:tblBorders/>
      </w:tblPr>
      <w:tcPr>
        <w:shd w:val="clear" w:color="ffffff"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1"/>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9bee4" w:themeFill="accent1" w:themeFillTint="75"/>
        <w:tcBorders/>
      </w:tcPr>
    </w:tblStylePr>
    <w:tblStylePr w:type="band1Vert">
      <w:pPr>
        <w:pBdr/>
        <w:spacing/>
        <w:ind/>
      </w:pPr>
      <w:tblPr>
        <w:tblBorders/>
      </w:tblPr>
      <w:tcPr>
        <w:shd w:val="clear" w:color="ffffff"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472c4" w:themeFill="accent1"/>
        <w:tcBorders/>
      </w:tcPr>
    </w:tblStylePr>
    <w:tblStylePr w:type="firstRow">
      <w:rPr>
        <w:b/>
        <w:sz w:val="22"/>
      </w:rPr>
      <w:pPr>
        <w:pBdr/>
        <w:spacing/>
        <w:ind/>
      </w:pPr>
      <w:tblPr>
        <w:tblBorders/>
      </w:tblPr>
      <w:tcPr>
        <w:shd w:val="clear" w:color="ffffff" w:fill="4472c4" w:themeFill="accent1"/>
        <w:tcBorders/>
      </w:tcPr>
    </w:tblStylePr>
    <w:tblStylePr w:type="lastCol">
      <w:rPr>
        <w:b/>
        <w:sz w:val="22"/>
      </w:rPr>
      <w:pPr>
        <w:pBdr/>
        <w:spacing/>
        <w:ind/>
      </w:pPr>
      <w:tblPr>
        <w:tblBorders/>
      </w:tblPr>
      <w:tcPr>
        <w:shd w:val="clear" w:color="ffffff" w:fill="4472c4" w:themeFill="accent1"/>
        <w:tcBorders/>
      </w:tcPr>
    </w:tblStylePr>
    <w:tblStylePr w:type="lastRow">
      <w:rPr>
        <w:b/>
        <w:sz w:val="22"/>
      </w:rPr>
      <w:pPr>
        <w:pBdr/>
        <w:spacing/>
        <w:ind/>
      </w:pPr>
      <w:tblPr>
        <w:tblBorders/>
      </w:tblPr>
      <w:tcPr>
        <w:shd w:val="clear" w:color="ffffff"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 Accent 2"/>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7c3a0" w:themeFill="accent2" w:themeFillTint="75"/>
        <w:tcBorders/>
      </w:tcPr>
    </w:tblStylePr>
    <w:tblStylePr w:type="band1Vert">
      <w:pPr>
        <w:pBdr/>
        <w:spacing/>
        <w:ind/>
      </w:pPr>
      <w:tblPr>
        <w:tblBorders/>
      </w:tblPr>
      <w:tcPr>
        <w:shd w:val="clear" w:color="ffffff"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ed7d31" w:themeFill="accent2"/>
        <w:tcBorders/>
      </w:tcPr>
    </w:tblStylePr>
    <w:tblStylePr w:type="firstRow">
      <w:rPr>
        <w:b/>
        <w:sz w:val="22"/>
      </w:rPr>
      <w:pPr>
        <w:pBdr/>
        <w:spacing/>
        <w:ind/>
      </w:pPr>
      <w:tblPr>
        <w:tblBorders/>
      </w:tblPr>
      <w:tcPr>
        <w:shd w:val="clear" w:color="ffffff" w:fill="ed7d31" w:themeFill="accent2"/>
        <w:tcBorders/>
      </w:tcPr>
    </w:tblStylePr>
    <w:tblStylePr w:type="lastCol">
      <w:rPr>
        <w:b/>
        <w:sz w:val="22"/>
      </w:rPr>
      <w:pPr>
        <w:pBdr/>
        <w:spacing/>
        <w:ind/>
      </w:pPr>
      <w:tblPr>
        <w:tblBorders/>
      </w:tblPr>
      <w:tcPr>
        <w:shd w:val="clear" w:color="ffffff" w:fill="ed7d31" w:themeFill="accent2"/>
        <w:tcBorders/>
      </w:tcPr>
    </w:tblStylePr>
    <w:tblStylePr w:type="lastRow">
      <w:rPr>
        <w:b/>
        <w:sz w:val="22"/>
      </w:rPr>
      <w:pPr>
        <w:pBdr/>
        <w:spacing/>
        <w:ind/>
      </w:pPr>
      <w:tblPr>
        <w:tblBorders/>
      </w:tblPr>
      <w:tcPr>
        <w:shd w:val="clear" w:color="ffffff"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 Accent 3"/>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d6d6d6" w:themeFill="accent3" w:themeFillTint="75"/>
        <w:tcBorders/>
      </w:tcPr>
    </w:tblStylePr>
    <w:tblStylePr w:type="band1Vert">
      <w:pPr>
        <w:pBdr/>
        <w:spacing/>
        <w:ind/>
      </w:pPr>
      <w:tblPr>
        <w:tblBorders/>
      </w:tblPr>
      <w:tcPr>
        <w:shd w:val="clear" w:color="ffffff"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a5a5a5" w:themeFill="accent3"/>
        <w:tcBorders/>
      </w:tcPr>
    </w:tblStylePr>
    <w:tblStylePr w:type="firstRow">
      <w:rPr>
        <w:b/>
        <w:sz w:val="22"/>
      </w:rPr>
      <w:pPr>
        <w:pBdr/>
        <w:spacing/>
        <w:ind/>
      </w:pPr>
      <w:tblPr>
        <w:tblBorders/>
      </w:tblPr>
      <w:tcPr>
        <w:shd w:val="clear" w:color="ffffff" w:fill="a5a5a5" w:themeFill="accent3"/>
        <w:tcBorders/>
      </w:tcPr>
    </w:tblStylePr>
    <w:tblStylePr w:type="lastCol">
      <w:rPr>
        <w:b/>
        <w:sz w:val="22"/>
      </w:rPr>
      <w:pPr>
        <w:pBdr/>
        <w:spacing/>
        <w:ind/>
      </w:pPr>
      <w:tblPr>
        <w:tblBorders/>
      </w:tblPr>
      <w:tcPr>
        <w:shd w:val="clear" w:color="ffffff" w:fill="a5a5a5" w:themeFill="accent3"/>
        <w:tcBorders/>
      </w:tcPr>
    </w:tblStylePr>
    <w:tblStylePr w:type="lastRow">
      <w:rPr>
        <w:b/>
        <w:sz w:val="22"/>
      </w:rPr>
      <w:pPr>
        <w:pBdr/>
        <w:spacing/>
        <w:ind/>
      </w:pPr>
      <w:tblPr>
        <w:tblBorders/>
      </w:tblPr>
      <w:tcPr>
        <w:shd w:val="clear" w:color="ffffff"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4"/>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fe28a" w:themeFill="accent4" w:themeFillTint="75"/>
        <w:tcBorders/>
      </w:tcPr>
    </w:tblStylePr>
    <w:tblStylePr w:type="band1Vert">
      <w:pPr>
        <w:pBdr/>
        <w:spacing/>
        <w:ind/>
      </w:pPr>
      <w:tblPr>
        <w:tblBorders/>
      </w:tblPr>
      <w:tcPr>
        <w:shd w:val="clear" w:color="ffffff"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ffc000" w:themeFill="accent4"/>
        <w:tcBorders/>
      </w:tcPr>
    </w:tblStylePr>
    <w:tblStylePr w:type="firstRow">
      <w:rPr>
        <w:b/>
        <w:sz w:val="22"/>
      </w:rPr>
      <w:pPr>
        <w:pBdr/>
        <w:spacing/>
        <w:ind/>
      </w:pPr>
      <w:tblPr>
        <w:tblBorders/>
      </w:tblPr>
      <w:tcPr>
        <w:shd w:val="clear" w:color="ffffff" w:fill="ffc000" w:themeFill="accent4"/>
        <w:tcBorders/>
      </w:tcPr>
    </w:tblStylePr>
    <w:tblStylePr w:type="lastCol">
      <w:rPr>
        <w:b/>
        <w:sz w:val="22"/>
      </w:rPr>
      <w:pPr>
        <w:pBdr/>
        <w:spacing/>
        <w:ind/>
      </w:pPr>
      <w:tblPr>
        <w:tblBorders/>
      </w:tblPr>
      <w:tcPr>
        <w:shd w:val="clear" w:color="ffffff" w:fill="ffc000" w:themeFill="accent4"/>
        <w:tcBorders/>
      </w:tcPr>
    </w:tblStylePr>
    <w:tblStylePr w:type="lastRow">
      <w:rPr>
        <w:b/>
        <w:sz w:val="22"/>
      </w:rPr>
      <w:pPr>
        <w:pBdr/>
        <w:spacing/>
        <w:ind/>
      </w:pPr>
      <w:tblPr>
        <w:tblBorders/>
      </w:tblPr>
      <w:tcPr>
        <w:shd w:val="clear" w:color="ffffff"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5 Dark - Accent 5"/>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b4d1ec" w:themeFill="accent5" w:themeFillTint="75"/>
        <w:tcBorders/>
      </w:tcPr>
    </w:tblStylePr>
    <w:tblStylePr w:type="band1Vert">
      <w:pPr>
        <w:pBdr/>
        <w:spacing/>
        <w:ind/>
      </w:pPr>
      <w:tblPr>
        <w:tblBorders/>
      </w:tblPr>
      <w:tcPr>
        <w:shd w:val="clear" w:color="ffffff"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5b9bd5" w:themeFill="accent5"/>
        <w:tcBorders/>
      </w:tcPr>
    </w:tblStylePr>
    <w:tblStylePr w:type="firstRow">
      <w:rPr>
        <w:b/>
        <w:sz w:val="22"/>
      </w:rPr>
      <w:pPr>
        <w:pBdr/>
        <w:spacing/>
        <w:ind/>
      </w:pPr>
      <w:tblPr>
        <w:tblBorders/>
      </w:tblPr>
      <w:tcPr>
        <w:shd w:val="clear" w:color="ffffff" w:fill="5b9bd5" w:themeFill="accent5"/>
        <w:tcBorders/>
      </w:tcPr>
    </w:tblStylePr>
    <w:tblStylePr w:type="lastCol">
      <w:rPr>
        <w:b/>
        <w:sz w:val="22"/>
      </w:rPr>
      <w:pPr>
        <w:pBdr/>
        <w:spacing/>
        <w:ind/>
      </w:pPr>
      <w:tblPr>
        <w:tblBorders/>
      </w:tblPr>
      <w:tcPr>
        <w:shd w:val="clear" w:color="ffffff" w:fill="5b9bd5" w:themeFill="accent5"/>
        <w:tcBorders/>
      </w:tcPr>
    </w:tblStylePr>
    <w:tblStylePr w:type="lastRow">
      <w:rPr>
        <w:b/>
        <w:sz w:val="22"/>
      </w:rPr>
      <w:pPr>
        <w:pBdr/>
        <w:spacing/>
        <w:ind/>
      </w:pPr>
      <w:tblPr>
        <w:tblBorders/>
      </w:tblPr>
      <w:tcPr>
        <w:shd w:val="clear" w:color="ffffff"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 Accent 6"/>
    <w:basedOn w:val="1064"/>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bddba8" w:themeFill="accent6" w:themeFillTint="75"/>
        <w:tcBorders/>
      </w:tcPr>
    </w:tblStylePr>
    <w:tblStylePr w:type="band1Vert">
      <w:pPr>
        <w:pBdr/>
        <w:spacing/>
        <w:ind/>
      </w:pPr>
      <w:tblPr>
        <w:tblBorders/>
      </w:tblPr>
      <w:tcPr>
        <w:shd w:val="clear" w:color="ffffff"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70ad47" w:themeFill="accent6"/>
        <w:tcBorders/>
      </w:tcPr>
    </w:tblStylePr>
    <w:tblStylePr w:type="firstRow">
      <w:rPr>
        <w:b/>
        <w:sz w:val="22"/>
      </w:rPr>
      <w:pPr>
        <w:pBdr/>
        <w:spacing/>
        <w:ind/>
      </w:pPr>
      <w:tblPr>
        <w:tblBorders/>
      </w:tblPr>
      <w:tcPr>
        <w:shd w:val="clear" w:color="ffffff" w:fill="70ad47" w:themeFill="accent6"/>
        <w:tcBorders/>
      </w:tcPr>
    </w:tblStylePr>
    <w:tblStylePr w:type="lastCol">
      <w:rPr>
        <w:b/>
        <w:sz w:val="22"/>
      </w:rPr>
      <w:pPr>
        <w:pBdr/>
        <w:spacing/>
        <w:ind/>
      </w:pPr>
      <w:tblPr>
        <w:tblBorders/>
      </w:tblPr>
      <w:tcPr>
        <w:shd w:val="clear" w:color="ffffff" w:fill="70ad47" w:themeFill="accent6"/>
        <w:tcBorders/>
      </w:tcPr>
    </w:tblStylePr>
    <w:tblStylePr w:type="lastRow">
      <w:rPr>
        <w:b/>
        <w:sz w:val="22"/>
      </w:rPr>
      <w:pPr>
        <w:pBdr/>
        <w:spacing/>
        <w:ind/>
      </w:pPr>
      <w:tblPr>
        <w:tblBorders/>
      </w:tblPr>
      <w:tcPr>
        <w:shd w:val="clear" w:color="ffffff"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w:basedOn w:val="1064"/>
    <w:uiPriority w:val="99"/>
    <w:pPr>
      <w:pBdr/>
      <w:spacing w:after="0" w:line="240" w:lineRule="auto"/>
      <w:ind/>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color w:val="404040" w:themeColor="text1" w:themeTint="80" w:themeShade="95"/>
        <w:sz w:val="22"/>
      </w:rPr>
      <w:pPr>
        <w:pBdr/>
        <w:spacing/>
        <w:ind/>
      </w:pPr>
      <w:tblPr>
        <w:tblBorders/>
      </w:tblPr>
      <w:tcPr>
        <w:shd w:val="clear" w:color="ffffff" w:fill="cbcbcb" w:themeFill="text1" w:themeFillTint="34"/>
        <w:tcBorders/>
      </w:tcPr>
    </w:tblStylePr>
    <w:tblStylePr w:type="band1Vert">
      <w:pPr>
        <w:pBdr/>
        <w:spacing/>
        <w:ind/>
      </w:pPr>
      <w:tblPr>
        <w:tblBorders/>
      </w:tblPr>
      <w:tcPr>
        <w:shd w:val="clear" w:color="ffffff" w:fill="cbcbcb" w:themeFill="text1" w:themeFillTint="34"/>
        <w:tcBorders/>
      </w:tcPr>
    </w:tblStylePr>
    <w:tblStylePr w:type="band2Horz">
      <w:rPr>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text1" w:themeTint="80" w:themeShade="95"/>
        <w:sz w:val="22"/>
      </w:rPr>
      <w:pPr>
        <w:pBdr/>
        <w:spacing/>
        <w:ind/>
      </w:pPr>
      <w:tblPr>
        <w:tblBorders/>
      </w:tblPr>
      <w:tcPr>
        <w:tcBorders/>
      </w:tcPr>
    </w:tblStylePr>
  </w:style>
  <w:style w:type="table" w:styleId="981">
    <w:name w:val="Grid Table 6 Colorful - Accent 1"/>
    <w:basedOn w:val="1064"/>
    <w:uiPriority w:val="99"/>
    <w:pPr>
      <w:pBdr/>
      <w:spacing w:after="0" w:line="240" w:lineRule="auto"/>
      <w:ind/>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color w:val="404040" w:themeColor="accent1" w:themeTint="80" w:themeShade="95"/>
        <w:sz w:val="22"/>
      </w:rPr>
      <w:pPr>
        <w:pBdr/>
        <w:spacing/>
        <w:ind/>
      </w:pPr>
      <w:tblPr>
        <w:tblBorders/>
      </w:tblPr>
      <w:tcPr>
        <w:shd w:val="clear" w:color="ffffff" w:fill="d9e2f3" w:themeFill="accent1" w:themeFillTint="34"/>
        <w:tcBorders/>
      </w:tcPr>
    </w:tblStylePr>
    <w:tblStylePr w:type="band1Vert">
      <w:pPr>
        <w:pBdr/>
        <w:spacing/>
        <w:ind/>
      </w:pPr>
      <w:tblPr>
        <w:tblBorders/>
      </w:tblPr>
      <w:tcPr>
        <w:shd w:val="clear" w:color="ffffff" w:fill="d9e2f3" w:themeFill="accent1" w:themeFillTint="34"/>
        <w:tcBorders/>
      </w:tcPr>
    </w:tblStylePr>
    <w:tblStylePr w:type="band2Horz">
      <w:rPr>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1" w:themeTint="80" w:themeShade="95"/>
        <w:sz w:val="22"/>
      </w:rPr>
      <w:pPr>
        <w:pBdr/>
        <w:spacing/>
        <w:ind/>
      </w:pPr>
      <w:tblPr>
        <w:tblBorders/>
      </w:tblPr>
      <w:tcPr>
        <w:tcBorders/>
      </w:tcPr>
    </w:tblStylePr>
  </w:style>
  <w:style w:type="table" w:styleId="982">
    <w:name w:val="Grid Table 6 Colorful - Accent 2"/>
    <w:basedOn w:val="1064"/>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color w:val="404040" w:themeColor="accent2" w:themeTint="97" w:themeShade="95"/>
        <w:sz w:val="22"/>
      </w:rPr>
      <w:pPr>
        <w:pBdr/>
        <w:spacing/>
        <w:ind/>
      </w:pPr>
      <w:tblPr>
        <w:tblBorders/>
      </w:tblPr>
      <w:tcPr>
        <w:shd w:val="clear" w:color="ffffff" w:fill="fbe6d7" w:themeFill="accent2" w:themeFillTint="32"/>
        <w:tcBorders/>
      </w:tcPr>
    </w:tblStylePr>
    <w:tblStylePr w:type="band1Vert">
      <w:pPr>
        <w:pBdr/>
        <w:spacing/>
        <w:ind/>
      </w:pPr>
      <w:tblPr>
        <w:tblBorders/>
      </w:tblPr>
      <w:tcPr>
        <w:shd w:val="clear" w:color="ffffff" w:fill="fbe6d7" w:themeFill="accent2" w:themeFillTint="32"/>
        <w:tcBorders/>
      </w:tcPr>
    </w:tblStylePr>
    <w:tblStylePr w:type="band2Horz">
      <w:rPr>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2" w:themeTint="97" w:themeShade="95"/>
        <w:sz w:val="22"/>
      </w:rPr>
      <w:pPr>
        <w:pBdr/>
        <w:spacing/>
        <w:ind/>
      </w:pPr>
      <w:tblPr>
        <w:tblBorders/>
      </w:tblPr>
      <w:tcPr>
        <w:tcBorders/>
      </w:tcPr>
    </w:tblStylePr>
  </w:style>
  <w:style w:type="table" w:styleId="983">
    <w:name w:val="Grid Table 6 Colorful - Accent 3"/>
    <w:basedOn w:val="1064"/>
    <w:uiPriority w:val="99"/>
    <w:pPr>
      <w:pBdr/>
      <w:spacing w:after="0" w:line="240" w:lineRule="auto"/>
      <w:ind/>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color w:val="404040" w:themeColor="accent3" w:themeTint="FE" w:themeShade="95"/>
        <w:sz w:val="22"/>
      </w:rPr>
      <w:pPr>
        <w:pBdr/>
        <w:spacing/>
        <w:ind/>
      </w:pPr>
      <w:tblPr>
        <w:tblBorders/>
      </w:tblPr>
      <w:tcPr>
        <w:shd w:val="clear" w:color="ffffff" w:fill="ededed" w:themeFill="accent3" w:themeFillTint="34"/>
        <w:tcBorders/>
      </w:tcPr>
    </w:tblStylePr>
    <w:tblStylePr w:type="band1Vert">
      <w:pPr>
        <w:pBdr/>
        <w:spacing/>
        <w:ind/>
      </w:pPr>
      <w:tblPr>
        <w:tblBorders/>
      </w:tblPr>
      <w:tcPr>
        <w:shd w:val="clear" w:color="ffffff" w:fill="ededed" w:themeFill="accent3" w:themeFillTint="34"/>
        <w:tcBorders/>
      </w:tcPr>
    </w:tblStylePr>
    <w:tblStylePr w:type="band2Horz">
      <w:rPr>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3" w:themeTint="FE" w:themeShade="95"/>
        <w:sz w:val="22"/>
      </w:rPr>
      <w:pPr>
        <w:pBdr/>
        <w:spacing/>
        <w:ind/>
      </w:pPr>
      <w:tblPr>
        <w:tblBorders/>
      </w:tblPr>
      <w:tcPr>
        <w:tcBorders/>
      </w:tcPr>
    </w:tblStylePr>
  </w:style>
  <w:style w:type="table" w:styleId="984">
    <w:name w:val="Grid Table 6 Colorful - Accent 4"/>
    <w:basedOn w:val="1064"/>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color w:val="404040" w:themeColor="accent4" w:themeTint="9A" w:themeShade="95"/>
        <w:sz w:val="22"/>
      </w:rPr>
      <w:pPr>
        <w:pBdr/>
        <w:spacing/>
        <w:ind/>
      </w:pPr>
      <w:tblPr>
        <w:tblBorders/>
      </w:tblPr>
      <w:tcPr>
        <w:shd w:val="clear" w:color="ffffff" w:fill="fff2cb" w:themeFill="accent4" w:themeFillTint="34"/>
        <w:tcBorders/>
      </w:tcPr>
    </w:tblStylePr>
    <w:tblStylePr w:type="band1Vert">
      <w:pPr>
        <w:pBdr/>
        <w:spacing/>
        <w:ind/>
      </w:pPr>
      <w:tblPr>
        <w:tblBorders/>
      </w:tblPr>
      <w:tcPr>
        <w:shd w:val="clear" w:color="ffffff" w:fill="fff2cb" w:themeFill="accent4" w:themeFillTint="34"/>
        <w:tcBorders/>
      </w:tcPr>
    </w:tblStylePr>
    <w:tblStylePr w:type="band2Horz">
      <w:rPr>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4" w:themeTint="9A" w:themeShade="95"/>
        <w:sz w:val="22"/>
      </w:rPr>
      <w:pPr>
        <w:pBdr/>
        <w:spacing/>
        <w:ind/>
      </w:pPr>
      <w:tblPr>
        <w:tblBorders/>
      </w:tblPr>
      <w:tcPr>
        <w:tcBorders/>
      </w:tcPr>
    </w:tblStylePr>
  </w:style>
  <w:style w:type="table" w:styleId="985">
    <w:name w:val="Grid Table 6 Colorful - Accent 5"/>
    <w:basedOn w:val="1064"/>
    <w:uiPriority w:val="99"/>
    <w:pPr>
      <w:pBdr/>
      <w:spacing w:after="0" w:line="240" w:lineRule="auto"/>
      <w:ind/>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color w:val="404040" w:themeColor="accent5" w:themeShade="95"/>
        <w:sz w:val="22"/>
      </w:rPr>
      <w:pPr>
        <w:pBdr/>
        <w:spacing/>
        <w:ind/>
      </w:pPr>
      <w:tblPr>
        <w:tblBorders/>
      </w:tblPr>
      <w:tcPr>
        <w:shd w:val="clear" w:color="ffffff" w:fill="deebf6" w:themeFill="accent5" w:themeFillTint="34"/>
        <w:tcBorders/>
      </w:tcPr>
    </w:tblStylePr>
    <w:tblStylePr w:type="band1Vert">
      <w:pPr>
        <w:pBdr/>
        <w:spacing/>
        <w:ind/>
      </w:pPr>
      <w:tblPr>
        <w:tblBorders/>
      </w:tblPr>
      <w:tcPr>
        <w:shd w:val="clear" w:color="ffffff" w:fill="deebf6" w:themeFill="accent5" w:themeFillTint="34"/>
        <w:tcBorders/>
      </w:tcPr>
    </w:tblStylePr>
    <w:tblStylePr w:type="band2Horz">
      <w:rPr>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5" w:themeShade="95"/>
        <w:sz w:val="22"/>
      </w:rPr>
      <w:pPr>
        <w:pBdr/>
        <w:spacing/>
        <w:ind/>
      </w:pPr>
      <w:tblPr>
        <w:tblBorders/>
      </w:tblPr>
      <w:tcPr>
        <w:tcBorders/>
      </w:tcPr>
    </w:tblStylePr>
  </w:style>
  <w:style w:type="table" w:styleId="986">
    <w:name w:val="Grid Table 6 Colorful - Accent 6"/>
    <w:basedOn w:val="1064"/>
    <w:uiPriority w:val="99"/>
    <w:pPr>
      <w:pBdr/>
      <w:spacing w:after="0" w:line="240" w:lineRule="auto"/>
      <w:ind/>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color w:val="404040" w:themeColor="accent5" w:themeShade="95"/>
        <w:sz w:val="22"/>
      </w:rPr>
      <w:pPr>
        <w:pBdr/>
        <w:spacing/>
        <w:ind/>
      </w:pPr>
      <w:tblPr>
        <w:tblBorders/>
      </w:tblPr>
      <w:tcPr>
        <w:shd w:val="clear" w:color="ffffff" w:fill="e2efd9" w:themeFill="accent6" w:themeFillTint="34"/>
        <w:tcBorders/>
      </w:tcPr>
    </w:tblStylePr>
    <w:tblStylePr w:type="band1Vert">
      <w:pPr>
        <w:pBdr/>
        <w:spacing/>
        <w:ind/>
      </w:pPr>
      <w:tblPr>
        <w:tblBorders/>
      </w:tblPr>
      <w:tcPr>
        <w:shd w:val="clear" w:color="ffffff" w:fill="e2efd9" w:themeFill="accent6" w:themeFillTint="34"/>
        <w:tcBorders/>
      </w:tcPr>
    </w:tblStylePr>
    <w:tblStylePr w:type="band2Horz">
      <w:rPr>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04040" w:themeColor="accent5" w:themeShade="95"/>
        <w:sz w:val="22"/>
      </w:rPr>
      <w:pPr>
        <w:pBdr/>
        <w:spacing/>
        <w:ind/>
      </w:pPr>
      <w:tblPr>
        <w:tblBorders/>
      </w:tblPr>
      <w:tcPr>
        <w:tcBorders/>
      </w:tcPr>
    </w:tblStylePr>
  </w:style>
  <w:style w:type="table" w:styleId="987">
    <w:name w:val="Grid Table 7 Colorful"/>
    <w:basedOn w:val="1064"/>
    <w:uiPriority w:val="99"/>
    <w:pPr>
      <w:pBdr/>
      <w:spacing w:after="0" w:line="240" w:lineRule="auto"/>
      <w:ind/>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fffff" w:fill="f2f2f2" w:themeFill="text1" w:themeFillTint="00"/>
        <w:tcBorders/>
      </w:tcPr>
    </w:tblStylePr>
    <w:tblStylePr w:type="band1Vert">
      <w:pPr>
        <w:pBdr/>
        <w:spacing/>
        <w:ind/>
      </w:pPr>
      <w:tblPr>
        <w:tblBorders/>
      </w:tblPr>
      <w:tcPr>
        <w:shd w:val="clear" w:color="ffffff" w:fill="f2f2f2" w:themeFill="text1" w:themeFillTint="0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b/>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b/>
        <w:color w:val="4a4a4a" w:themeColor="text1" w:themeTint="80" w:themeShade="95"/>
        <w:sz w:val="22"/>
      </w:rPr>
      <w:pPr>
        <w:pBdr/>
        <w:spacing/>
        <w:ind/>
      </w:pPr>
      <w:tblPr>
        <w:tblBorders/>
      </w:tbl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 Accent 1"/>
    <w:basedOn w:val="1064"/>
    <w:uiPriority w:val="99"/>
    <w:pPr>
      <w:pBdr/>
      <w:spacing w:after="0" w:line="240" w:lineRule="auto"/>
      <w:ind/>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color w:val="3660ac" w:themeColor="accent1" w:themeTint="80" w:themeShade="95"/>
        <w:sz w:val="22"/>
      </w:rPr>
      <w:pPr>
        <w:pBdr/>
        <w:spacing/>
        <w:ind/>
      </w:pPr>
      <w:tblPr>
        <w:tblBorders/>
      </w:tblPr>
      <w:tcPr>
        <w:shd w:val="clear" w:color="ffffff" w:fill="d9e2f3" w:themeFill="accent1" w:themeFillTint="34"/>
        <w:tcBorders/>
      </w:tcPr>
    </w:tblStylePr>
    <w:tblStylePr w:type="band1Vert">
      <w:pPr>
        <w:pBdr/>
        <w:spacing/>
        <w:ind/>
      </w:pPr>
      <w:tblPr>
        <w:tblBorders/>
      </w:tblPr>
      <w:tcPr>
        <w:shd w:val="clear" w:color="ffffff" w:fill="d9e2f3" w:themeFill="accent1" w:themeFillTint="34"/>
        <w:tcBorders/>
      </w:tcPr>
    </w:tblStylePr>
    <w:tblStylePr w:type="band2Horz">
      <w:rPr>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b/>
        <w:color w:val="3660ac" w:themeColor="accen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3660ac" w:themeColor="accent1" w:themeTint="80"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b/>
        <w:color w:val="3660ac" w:themeColor="accent1" w:themeTint="80" w:themeShade="95"/>
        <w:sz w:val="22"/>
      </w:rPr>
      <w:pPr>
        <w:pBdr/>
        <w:spacing/>
        <w:ind/>
      </w:pPr>
      <w:tblPr>
        <w:tblBorders/>
      </w:tbl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 Accent 2"/>
    <w:basedOn w:val="1064"/>
    <w:uiPriority w:val="99"/>
    <w:pPr>
      <w:pBdr/>
      <w:spacing w:after="0" w:line="240" w:lineRule="auto"/>
      <w:ind/>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color w:val="cb5d12" w:themeColor="accent2" w:themeTint="97" w:themeShade="95"/>
        <w:sz w:val="22"/>
      </w:rPr>
      <w:pPr>
        <w:pBdr/>
        <w:spacing/>
        <w:ind/>
      </w:pPr>
      <w:tblPr>
        <w:tblBorders/>
      </w:tblPr>
      <w:tcPr>
        <w:shd w:val="clear" w:color="ffffff" w:fill="fbe6d7" w:themeFill="accent2" w:themeFillTint="32"/>
        <w:tcBorders/>
      </w:tcPr>
    </w:tblStylePr>
    <w:tblStylePr w:type="band1Vert">
      <w:pPr>
        <w:pBdr/>
        <w:spacing/>
        <w:ind/>
      </w:pPr>
      <w:tblPr>
        <w:tblBorders/>
      </w:tblPr>
      <w:tcPr>
        <w:shd w:val="clear" w:color="ffffff" w:fill="fbe6d7" w:themeFill="accent2" w:themeFillTint="32"/>
        <w:tcBorders/>
      </w:tcPr>
    </w:tblStylePr>
    <w:tblStylePr w:type="band2Horz">
      <w:rPr>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b/>
        <w:color w:val="cb5d12"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b5d12" w:themeColor="accent2" w:themeTint="97" w:themeShade="95"/>
        <w:sz w:val="22"/>
      </w:rPr>
      <w:pPr>
        <w:pBdr/>
        <w:spacing/>
        <w:ind/>
      </w:pPr>
      <w:tblPr>
        <w:tblBorders/>
      </w:tbl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b/>
        <w:color w:val="cb5d12" w:themeColor="accent2" w:themeTint="97" w:themeShade="95"/>
        <w:sz w:val="22"/>
      </w:rPr>
      <w:pPr>
        <w:pBdr/>
        <w:spacing/>
        <w:ind/>
      </w:pPr>
      <w:tblPr>
        <w:tblBorders/>
      </w:tbl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 Accent 3"/>
    <w:basedOn w:val="1064"/>
    <w:uiPriority w:val="99"/>
    <w:pPr>
      <w:pBdr/>
      <w:spacing w:after="0" w:line="240" w:lineRule="auto"/>
      <w:ind/>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color w:val="616161" w:themeColor="accent3" w:themeTint="FE" w:themeShade="95"/>
        <w:sz w:val="22"/>
      </w:rPr>
      <w:pPr>
        <w:pBdr/>
        <w:spacing/>
        <w:ind/>
      </w:pPr>
      <w:tblPr>
        <w:tblBorders/>
      </w:tblPr>
      <w:tcPr>
        <w:shd w:val="clear" w:color="ffffff" w:fill="ededed" w:themeFill="accent3" w:themeFillTint="34"/>
        <w:tcBorders/>
      </w:tcPr>
    </w:tblStylePr>
    <w:tblStylePr w:type="band1Vert">
      <w:pPr>
        <w:pBdr/>
        <w:spacing/>
        <w:ind/>
      </w:pPr>
      <w:tblPr>
        <w:tblBorders/>
      </w:tblPr>
      <w:tcPr>
        <w:shd w:val="clear" w:color="ffffff" w:fill="ededed" w:themeFill="accent3" w:themeFillTint="34"/>
        <w:tcBorders/>
      </w:tcPr>
    </w:tblStylePr>
    <w:tblStylePr w:type="band2Horz">
      <w:rPr>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b/>
        <w:color w:val="616161" w:themeColor="accent3" w:themeTint="FE"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616161" w:themeColor="accent3" w:themeTint="FE" w:themeShade="95"/>
        <w:sz w:val="22"/>
      </w:rPr>
      <w:pPr>
        <w:pBdr/>
        <w:spacing/>
        <w:ind/>
      </w:pPr>
      <w:tblPr>
        <w:tblBorders/>
      </w:tbl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b/>
        <w:color w:val="616161" w:themeColor="accent3" w:themeTint="FE" w:themeShade="95"/>
        <w:sz w:val="22"/>
      </w:rPr>
      <w:pPr>
        <w:pBdr/>
        <w:spacing/>
        <w:ind/>
      </w:pPr>
      <w:tblPr>
        <w:tblBorders/>
      </w:tbl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 Accent 4"/>
    <w:basedOn w:val="1064"/>
    <w:uiPriority w:val="99"/>
    <w:pPr>
      <w:pBdr/>
      <w:spacing w:after="0" w:line="240" w:lineRule="auto"/>
      <w:ind/>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color w:val="d09d00" w:themeColor="accent4" w:themeTint="9A" w:themeShade="95"/>
        <w:sz w:val="22"/>
      </w:rPr>
      <w:pPr>
        <w:pBdr/>
        <w:spacing/>
        <w:ind/>
      </w:pPr>
      <w:tblPr>
        <w:tblBorders/>
      </w:tblPr>
      <w:tcPr>
        <w:shd w:val="clear" w:color="ffffff" w:fill="fff2cb" w:themeFill="accent4" w:themeFillTint="34"/>
        <w:tcBorders/>
      </w:tcPr>
    </w:tblStylePr>
    <w:tblStylePr w:type="band1Vert">
      <w:pPr>
        <w:pBdr/>
        <w:spacing/>
        <w:ind/>
      </w:pPr>
      <w:tblPr>
        <w:tblBorders/>
      </w:tblPr>
      <w:tcPr>
        <w:shd w:val="clear" w:color="ffffff" w:fill="fff2cb" w:themeFill="accent4" w:themeFillTint="34"/>
        <w:tcBorders/>
      </w:tcPr>
    </w:tblStylePr>
    <w:tblStylePr w:type="band2Horz">
      <w:rPr>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b/>
        <w:color w:val="d09d00"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d09d00" w:themeColor="accent4" w:themeTint="9A" w:themeShade="95"/>
        <w:sz w:val="22"/>
      </w:rPr>
      <w:pPr>
        <w:pBdr/>
        <w:spacing/>
        <w:ind/>
      </w:pPr>
      <w:tblPr>
        <w:tblBorders/>
      </w:tbl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b/>
        <w:color w:val="d09d00" w:themeColor="accent4" w:themeTint="9A" w:themeShade="95"/>
        <w:sz w:val="22"/>
      </w:rPr>
      <w:pPr>
        <w:pBdr/>
        <w:spacing/>
        <w:ind/>
      </w:pPr>
      <w:tblPr>
        <w:tblBorders/>
      </w:tbl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7 Colorful - Accent 5"/>
    <w:basedOn w:val="1064"/>
    <w:uiPriority w:val="99"/>
    <w:pPr>
      <w:pBdr/>
      <w:spacing w:after="0" w:line="240" w:lineRule="auto"/>
      <w:ind/>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color w:val="245b8d" w:themeColor="accent5" w:themeShade="95"/>
        <w:sz w:val="22"/>
      </w:rPr>
      <w:pPr>
        <w:pBdr/>
        <w:spacing/>
        <w:ind/>
      </w:pPr>
      <w:tblPr>
        <w:tblBorders/>
      </w:tblPr>
      <w:tcPr>
        <w:shd w:val="clear" w:color="ffffff" w:fill="deebf6" w:themeFill="accent5" w:themeFillTint="34"/>
        <w:tcBorders/>
      </w:tcPr>
    </w:tblStylePr>
    <w:tblStylePr w:type="band1Vert">
      <w:pPr>
        <w:pBdr/>
        <w:spacing/>
        <w:ind/>
      </w:pPr>
      <w:tblPr>
        <w:tblBorders/>
      </w:tblPr>
      <w:tcPr>
        <w:shd w:val="clear" w:color="ffffff" w:fill="deebf6" w:themeFill="accent5" w:themeFillTint="34"/>
        <w:tcBorders/>
      </w:tcPr>
    </w:tblStylePr>
    <w:tblStylePr w:type="band2Horz">
      <w:rPr>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b/>
        <w:color w:val="245b8d" w:themeColor="accent5"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45b8d" w:themeColor="accent5" w:themeShade="95"/>
        <w:sz w:val="22"/>
      </w:rPr>
      <w:pPr>
        <w:pBdr/>
        <w:spacing/>
        <w:ind/>
      </w:pPr>
      <w:tblPr>
        <w:tblBorders/>
      </w:tbl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b/>
        <w:color w:val="245b8d" w:themeColor="accent5" w:themeShade="95"/>
        <w:sz w:val="22"/>
      </w:rPr>
      <w:pPr>
        <w:pBdr/>
        <w:spacing/>
        <w:ind/>
      </w:pPr>
      <w:tblPr>
        <w:tblBorders/>
      </w:tbl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 Accent 6"/>
    <w:basedOn w:val="1064"/>
    <w:uiPriority w:val="99"/>
    <w:pPr>
      <w:pBdr/>
      <w:spacing w:after="0" w:line="240" w:lineRule="auto"/>
      <w:ind/>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color w:val="416529" w:themeColor="accent6" w:themeShade="95"/>
        <w:sz w:val="22"/>
      </w:rPr>
      <w:pPr>
        <w:pBdr/>
        <w:spacing/>
        <w:ind/>
      </w:pPr>
      <w:tblPr>
        <w:tblBorders/>
      </w:tblPr>
      <w:tcPr>
        <w:shd w:val="clear" w:color="ffffff" w:fill="e2efd9" w:themeFill="accent6" w:themeFillTint="34"/>
        <w:tcBorders/>
      </w:tcPr>
    </w:tblStylePr>
    <w:tblStylePr w:type="band1Vert">
      <w:pPr>
        <w:pBdr/>
        <w:spacing/>
        <w:ind/>
      </w:pPr>
      <w:tblPr>
        <w:tblBorders/>
      </w:tblPr>
      <w:tcPr>
        <w:shd w:val="clear" w:color="ffffff" w:fill="e2efd9" w:themeFill="accent6" w:themeFillTint="34"/>
        <w:tcBorders/>
      </w:tcPr>
    </w:tblStylePr>
    <w:tblStylePr w:type="band2Horz">
      <w:rPr>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b/>
        <w:color w:val="416529" w:themeColor="accent6"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416529" w:themeColor="accent6" w:themeShade="95"/>
        <w:sz w:val="22"/>
      </w:rPr>
      <w:pPr>
        <w:pBdr/>
        <w:spacing/>
        <w:ind/>
      </w:pPr>
      <w:tblPr>
        <w:tblBorders/>
      </w:tbl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b/>
        <w:color w:val="416529" w:themeColor="accent6" w:themeShade="95"/>
        <w:sz w:val="22"/>
      </w:rPr>
      <w:pPr>
        <w:pBdr/>
        <w:spacing/>
        <w:ind/>
      </w:pPr>
      <w:tblPr>
        <w:tblBorders/>
      </w:tbl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 Accent 1"/>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0dcf0" w:themeFill="accent1" w:themeFillTint="40"/>
        <w:tcBorders/>
      </w:tcPr>
    </w:tblStylePr>
    <w:tblStylePr w:type="band1Vert">
      <w:pPr>
        <w:pBdr/>
        <w:spacing/>
        <w:ind/>
      </w:pPr>
      <w:tblPr>
        <w:tblBorders/>
      </w:tblPr>
      <w:tcPr>
        <w:shd w:val="clear" w:color="ffffff"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 Accent 2"/>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adecb" w:themeFill="accent2" w:themeFillTint="40"/>
        <w:tcBorders/>
      </w:tcPr>
    </w:tblStylePr>
    <w:tblStylePr w:type="band1Vert">
      <w:pPr>
        <w:pBdr/>
        <w:spacing/>
        <w:ind/>
      </w:pPr>
      <w:tblPr>
        <w:tblBorders/>
      </w:tblPr>
      <w:tcPr>
        <w:shd w:val="clear" w:color="ffffff"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 Accent 3"/>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8e8e8" w:themeFill="accent3" w:themeFillTint="40"/>
        <w:tcBorders/>
      </w:tcPr>
    </w:tblStylePr>
    <w:tblStylePr w:type="band1Vert">
      <w:pPr>
        <w:pBdr/>
        <w:spacing/>
        <w:ind/>
      </w:pPr>
      <w:tblPr>
        <w:tblBorders/>
      </w:tblPr>
      <w:tcPr>
        <w:shd w:val="clear" w:color="ffffff"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 Accent 4"/>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fefbf" w:themeFill="accent4" w:themeFillTint="40"/>
        <w:tcBorders/>
      </w:tcPr>
    </w:tblStylePr>
    <w:tblStylePr w:type="band1Vert">
      <w:pPr>
        <w:pBdr/>
        <w:spacing/>
        <w:ind/>
      </w:pPr>
      <w:tblPr>
        <w:tblBorders/>
      </w:tblPr>
      <w:tcPr>
        <w:shd w:val="clear" w:color="ffffff"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1 Light - Accent 5"/>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6e6f4" w:themeFill="accent5" w:themeFillTint="40"/>
        <w:tcBorders/>
      </w:tcPr>
    </w:tblStylePr>
    <w:tblStylePr w:type="band1Vert">
      <w:pPr>
        <w:pBdr/>
        <w:spacing/>
        <w:ind/>
      </w:pPr>
      <w:tblPr>
        <w:tblBorders/>
      </w:tblPr>
      <w:tcPr>
        <w:shd w:val="clear" w:color="ffffff"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 Accent 6"/>
    <w:basedOn w:val="106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becd0" w:themeFill="accent6" w:themeFillTint="40"/>
        <w:tcBorders/>
      </w:tcPr>
    </w:tblStylePr>
    <w:tblStylePr w:type="band1Vert">
      <w:pPr>
        <w:pBdr/>
        <w:spacing/>
        <w:ind/>
      </w:pPr>
      <w:tblPr>
        <w:tblBorders/>
      </w:tblPr>
      <w:tcPr>
        <w:shd w:val="clear" w:color="ffffff"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w:basedOn w:val="1064"/>
    <w:uiPriority w:val="99"/>
    <w:pPr>
      <w:pBdr/>
      <w:spacing w:after="0" w:line="240" w:lineRule="auto"/>
      <w:ind/>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sz w:val="22"/>
      </w:rPr>
      <w:pPr>
        <w:pBdr/>
        <w:spacing/>
        <w:ind/>
      </w:pPr>
      <w:tblPr>
        <w:tblBorders/>
      </w:tblPr>
      <w:tcPr>
        <w:shd w:val="clear" w:color="ffffff" w:fill="bfbfbf" w:themeFill="text1" w:themeFillTint="40"/>
        <w:tcBorders/>
      </w:tcPr>
    </w:tblStylePr>
    <w:tblStylePr w:type="band1Vert">
      <w:rPr>
        <w:sz w:val="22"/>
      </w:rPr>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text1" w:sz="4" w:space="0"/>
          <w:left w:val="none" w:color="000000" w:sz="4" w:space="0"/>
          <w:bottom w:val="single" w:color="000000" w:themeColor="tex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 Accent 1"/>
    <w:basedOn w:val="1064"/>
    <w:uiPriority w:val="99"/>
    <w:pPr>
      <w:pBdr/>
      <w:spacing w:after="0" w:line="240" w:lineRule="auto"/>
      <w:ind/>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0dcf0" w:themeFill="accent1" w:themeFillTint="40"/>
        <w:tcBorders/>
      </w:tcPr>
    </w:tblStylePr>
    <w:tblStylePr w:type="band1Vert">
      <w:rPr>
        <w:sz w:val="22"/>
      </w:rPr>
      <w:pPr>
        <w:pBdr/>
        <w:spacing/>
        <w:ind/>
      </w:pPr>
      <w:tblPr>
        <w:tblBorders/>
      </w:tblPr>
      <w:tcPr>
        <w:shd w:val="clear" w:color="ffffff"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 Accent 2"/>
    <w:basedOn w:val="1064"/>
    <w:uiPriority w:val="99"/>
    <w:pPr>
      <w:pBdr/>
      <w:spacing w:after="0" w:line="240" w:lineRule="auto"/>
      <w:ind/>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fadecb" w:themeFill="accent2" w:themeFillTint="40"/>
        <w:tcBorders/>
      </w:tcPr>
    </w:tblStylePr>
    <w:tblStylePr w:type="band1Vert">
      <w:rPr>
        <w:sz w:val="22"/>
      </w:rPr>
      <w:pPr>
        <w:pBdr/>
        <w:spacing/>
        <w:ind/>
      </w:pPr>
      <w:tblPr>
        <w:tblBorders/>
      </w:tblPr>
      <w:tcPr>
        <w:shd w:val="clear" w:color="ffffff"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 Accent 3"/>
    <w:basedOn w:val="1064"/>
    <w:uiPriority w:val="99"/>
    <w:pPr>
      <w:pBdr/>
      <w:spacing w:after="0" w:line="240" w:lineRule="auto"/>
      <w:ind/>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8e8e8" w:themeFill="accent3" w:themeFillTint="40"/>
        <w:tcBorders/>
      </w:tcPr>
    </w:tblStylePr>
    <w:tblStylePr w:type="band1Vert">
      <w:rPr>
        <w:sz w:val="22"/>
      </w:rPr>
      <w:pPr>
        <w:pBdr/>
        <w:spacing/>
        <w:ind/>
      </w:pPr>
      <w:tblPr>
        <w:tblBorders/>
      </w:tblPr>
      <w:tcPr>
        <w:shd w:val="clear" w:color="ffffff"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 Accent 4"/>
    <w:basedOn w:val="1064"/>
    <w:uiPriority w:val="99"/>
    <w:pPr>
      <w:pBdr/>
      <w:spacing w:after="0" w:line="240" w:lineRule="auto"/>
      <w:ind/>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ffefbf" w:themeFill="accent4" w:themeFillTint="40"/>
        <w:tcBorders/>
      </w:tcPr>
    </w:tblStylePr>
    <w:tblStylePr w:type="band1Vert">
      <w:rPr>
        <w:sz w:val="22"/>
      </w:rPr>
      <w:pPr>
        <w:pBdr/>
        <w:spacing/>
        <w:ind/>
      </w:pPr>
      <w:tblPr>
        <w:tblBorders/>
      </w:tblPr>
      <w:tcPr>
        <w:shd w:val="clear" w:color="ffffff"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2 - Accent 5"/>
    <w:basedOn w:val="1064"/>
    <w:uiPriority w:val="99"/>
    <w:pPr>
      <w:pBdr/>
      <w:spacing w:after="0" w:line="240" w:lineRule="auto"/>
      <w:ind/>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6e6f4" w:themeFill="accent5" w:themeFillTint="40"/>
        <w:tcBorders/>
      </w:tcPr>
    </w:tblStylePr>
    <w:tblStylePr w:type="band1Vert">
      <w:rPr>
        <w:sz w:val="22"/>
      </w:rPr>
      <w:pPr>
        <w:pBdr/>
        <w:spacing/>
        <w:ind/>
      </w:pPr>
      <w:tblPr>
        <w:tblBorders/>
      </w:tblPr>
      <w:tcPr>
        <w:shd w:val="clear" w:color="ffffff"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 Accent 6"/>
    <w:basedOn w:val="1064"/>
    <w:uiPriority w:val="99"/>
    <w:pPr>
      <w:pBdr/>
      <w:spacing w:after="0" w:line="240" w:lineRule="auto"/>
      <w:ind/>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dbecd0" w:themeFill="accent6" w:themeFillTint="40"/>
        <w:tcBorders/>
      </w:tcPr>
    </w:tblStylePr>
    <w:tblStylePr w:type="band1Vert">
      <w:rPr>
        <w:sz w:val="22"/>
      </w:rPr>
      <w:pPr>
        <w:pBdr/>
        <w:spacing/>
        <w:ind/>
      </w:pPr>
      <w:tblPr>
        <w:tblBorders/>
      </w:tblPr>
      <w:tcPr>
        <w:shd w:val="clear" w:color="ffffff"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w:basedOn w:val="106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sz w:val="22"/>
      </w:rPr>
      <w:pPr>
        <w:pBdr/>
        <w:spacing/>
        <w:ind/>
      </w:pPr>
      <w:tblPr>
        <w:tblBorders/>
      </w:tblPr>
      <w:tcPr>
        <w:tcBorders>
          <w:top w:val="single" w:color="000000" w:themeColor="text1" w:sz="4" w:space="0"/>
          <w:bottom w:val="single" w:color="000000" w:themeColor="text1" w:sz="4" w:space="0"/>
        </w:tcBorders>
      </w:tcPr>
    </w:tblStylePr>
    <w:tblStylePr w:type="band1Vert">
      <w:rPr>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 Accent 1"/>
    <w:basedOn w:val="1064"/>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sz w:val="22"/>
      </w:rPr>
      <w:pPr>
        <w:pBdr/>
        <w:spacing/>
        <w:ind/>
      </w:pPr>
      <w:tblPr>
        <w:tblBorders/>
      </w:tblPr>
      <w:tcPr>
        <w:tcBorders>
          <w:top w:val="single" w:color="000000" w:themeColor="accent1" w:sz="4" w:space="0"/>
          <w:bottom w:val="single" w:color="000000" w:themeColor="accent1" w:sz="4" w:space="0"/>
        </w:tcBorders>
      </w:tcPr>
    </w:tblStylePr>
    <w:tblStylePr w:type="band1Vert">
      <w:rPr>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472c4"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 Accent 2"/>
    <w:basedOn w:val="1064"/>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sz w:val="22"/>
      </w:rPr>
      <w:pPr>
        <w:pBdr/>
        <w:spacing/>
        <w:ind/>
      </w:pPr>
      <w:tblPr>
        <w:tblBorders/>
      </w:tblPr>
      <w:tcPr>
        <w:tcBorders>
          <w:top w:val="single" w:color="000000" w:themeColor="accent2" w:sz="4" w:space="0"/>
          <w:bottom w:val="single" w:color="000000" w:themeColor="accent2" w:sz="4" w:space="0"/>
        </w:tcBorders>
      </w:tcPr>
    </w:tblStylePr>
    <w:tblStylePr w:type="band1Vert">
      <w:rPr>
        <w:sz w:val="22"/>
      </w:rPr>
      <w:pPr>
        <w:pBdr/>
        <w:spacing/>
        <w:ind/>
      </w:pPr>
      <w:tblPr>
        <w:tblBorders/>
      </w:tblPr>
      <w:tcPr>
        <w:tcBorders>
          <w:left w:val="single" w:color="000000" w:themeColor="accent2" w:sz="4" w:space="0"/>
          <w:right w:val="single" w:color="000000"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4b285"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 Accent 3"/>
    <w:basedOn w:val="1064"/>
    <w:uiPriority w:val="99"/>
    <w:pPr>
      <w:pBdr/>
      <w:spacing w:after="0" w:line="240" w:lineRule="auto"/>
      <w:ind/>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sz w:val="22"/>
      </w:rPr>
      <w:pPr>
        <w:pBdr/>
        <w:spacing/>
        <w:ind/>
      </w:pPr>
      <w:tblPr>
        <w:tblBorders/>
      </w:tblPr>
      <w:tcPr>
        <w:tcBorders>
          <w:top w:val="single" w:color="000000" w:themeColor="accent3" w:sz="4" w:space="0"/>
          <w:bottom w:val="single" w:color="000000" w:themeColor="accent3" w:sz="4" w:space="0"/>
        </w:tcBorders>
      </w:tcPr>
    </w:tblStylePr>
    <w:tblStylePr w:type="band1Vert">
      <w:rPr>
        <w:sz w:val="22"/>
      </w:rPr>
      <w:pPr>
        <w:pBdr/>
        <w:spacing/>
        <w:ind/>
      </w:pPr>
      <w:tblPr>
        <w:tblBorders/>
      </w:tblPr>
      <w:tcPr>
        <w:tcBorders>
          <w:left w:val="single" w:color="000000" w:themeColor="accent3" w:sz="4" w:space="0"/>
          <w:right w:val="single" w:color="000000"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9c9c9"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 Accent 4"/>
    <w:basedOn w:val="1064"/>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sz w:val="22"/>
      </w:rPr>
      <w:pPr>
        <w:pBdr/>
        <w:spacing/>
        <w:ind/>
      </w:pPr>
      <w:tblPr>
        <w:tblBorders/>
      </w:tblPr>
      <w:tcPr>
        <w:tcBorders>
          <w:top w:val="single" w:color="000000" w:themeColor="accent4" w:sz="4" w:space="0"/>
          <w:bottom w:val="single" w:color="000000" w:themeColor="accent4" w:sz="4" w:space="0"/>
        </w:tcBorders>
      </w:tcPr>
    </w:tblStylePr>
    <w:tblStylePr w:type="band1Vert">
      <w:rPr>
        <w:sz w:val="22"/>
      </w:rPr>
      <w:pPr>
        <w:pBdr/>
        <w:spacing/>
        <w:ind/>
      </w:pPr>
      <w:tblPr>
        <w:tblBorders/>
      </w:tblPr>
      <w:tcPr>
        <w:tcBorders>
          <w:left w:val="single" w:color="000000" w:themeColor="accent4" w:sz="4" w:space="0"/>
          <w:right w:val="single" w:color="000000"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fd965"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3 - Accent 5"/>
    <w:basedOn w:val="1064"/>
    <w:uiPriority w:val="99"/>
    <w:pPr>
      <w:pBdr/>
      <w:spacing w:after="0" w:line="240" w:lineRule="auto"/>
      <w:ind/>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sz w:val="22"/>
      </w:rPr>
      <w:pPr>
        <w:pBdr/>
        <w:spacing/>
        <w:ind/>
      </w:pPr>
      <w:tblPr>
        <w:tblBorders/>
      </w:tblPr>
      <w:tcPr>
        <w:tcBorders>
          <w:top w:val="single" w:color="000000" w:themeColor="accent5" w:sz="4" w:space="0"/>
          <w:bottom w:val="single" w:color="000000" w:themeColor="accent5" w:sz="4" w:space="0"/>
        </w:tcBorders>
      </w:tcPr>
    </w:tblStylePr>
    <w:tblStylePr w:type="band1Vert">
      <w:rPr>
        <w:sz w:val="22"/>
      </w:rPr>
      <w:pPr>
        <w:pBdr/>
        <w:spacing/>
        <w:ind/>
      </w:pPr>
      <w:tblPr>
        <w:tblBorders/>
      </w:tblPr>
      <w:tcPr>
        <w:tcBorders>
          <w:left w:val="single" w:color="000000" w:themeColor="accent5" w:sz="4" w:space="0"/>
          <w:right w:val="single" w:color="000000"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cc3e6"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 Accent 6"/>
    <w:basedOn w:val="1064"/>
    <w:uiPriority w:val="99"/>
    <w:pPr>
      <w:pBdr/>
      <w:spacing w:after="0" w:line="240" w:lineRule="auto"/>
      <w:ind/>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sz w:val="22"/>
      </w:rPr>
      <w:pPr>
        <w:pBdr/>
        <w:spacing/>
        <w:ind/>
      </w:pPr>
      <w:tblPr>
        <w:tblBorders/>
      </w:tblPr>
      <w:tcPr>
        <w:tcBorders>
          <w:top w:val="single" w:color="000000" w:themeColor="accent6" w:sz="4" w:space="0"/>
          <w:bottom w:val="single" w:color="000000" w:themeColor="accent6" w:sz="4" w:space="0"/>
        </w:tcBorders>
      </w:tcPr>
    </w:tblStylePr>
    <w:tblStylePr w:type="band1Vert">
      <w:rPr>
        <w:sz w:val="22"/>
      </w:rPr>
      <w:pPr>
        <w:pBdr/>
        <w:spacing/>
        <w:ind/>
      </w:pPr>
      <w:tblPr>
        <w:tblBorders/>
      </w:tblPr>
      <w:tcPr>
        <w:tcBorders>
          <w:left w:val="single" w:color="000000" w:themeColor="accent6" w:sz="4" w:space="0"/>
          <w:right w:val="single" w:color="00000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a9d18f"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w:basedOn w:val="106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sz w:val="22"/>
      </w:rPr>
      <w:pPr>
        <w:pBdr/>
        <w:spacing/>
        <w:ind/>
      </w:pPr>
      <w:tblPr>
        <w:tblBorders/>
      </w:tblPr>
      <w:tcPr>
        <w:shd w:val="clear" w:color="ffffff" w:fill="bfbfbf" w:themeFill="text1" w:themeFillTint="40"/>
        <w:tcBorders/>
      </w:tcPr>
    </w:tblStylePr>
    <w:tblStylePr w:type="band1Vert">
      <w:rPr>
        <w:sz w:val="22"/>
      </w:rPr>
      <w:pPr>
        <w:pBdr/>
        <w:spacing/>
        <w:ind/>
      </w:pPr>
      <w:tblPr>
        <w:tblBorders/>
      </w:tblPr>
      <w:tcPr>
        <w:shd w:val="clear" w:color="fffff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 Accent 1"/>
    <w:basedOn w:val="1064"/>
    <w:uiPriority w:val="9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0dcf0" w:themeFill="accent1" w:themeFillTint="40"/>
        <w:tcBorders/>
      </w:tcPr>
    </w:tblStylePr>
    <w:tblStylePr w:type="band1Vert">
      <w:rPr>
        <w:sz w:val="22"/>
      </w:rPr>
      <w:pPr>
        <w:pBdr/>
        <w:spacing/>
        <w:ind/>
      </w:pPr>
      <w:tblPr>
        <w:tblBorders/>
      </w:tblPr>
      <w:tcPr>
        <w:shd w:val="clear" w:color="ffffff"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472c4"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 Accent 2"/>
    <w:basedOn w:val="1064"/>
    <w:uiPriority w:val="9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fadecb" w:themeFill="accent2" w:themeFillTint="40"/>
        <w:tcBorders/>
      </w:tcPr>
    </w:tblStylePr>
    <w:tblStylePr w:type="band1Vert">
      <w:rPr>
        <w:sz w:val="22"/>
      </w:rPr>
      <w:pPr>
        <w:pBdr/>
        <w:spacing/>
        <w:ind/>
      </w:pPr>
      <w:tblPr>
        <w:tblBorders/>
      </w:tblPr>
      <w:tcPr>
        <w:shd w:val="clear" w:color="ffffff"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ed7d31"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 Accent 3"/>
    <w:basedOn w:val="1064"/>
    <w:uiPriority w:val="9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8e8e8" w:themeFill="accent3" w:themeFillTint="40"/>
        <w:tcBorders/>
      </w:tcPr>
    </w:tblStylePr>
    <w:tblStylePr w:type="band1Vert">
      <w:rPr>
        <w:sz w:val="22"/>
      </w:rPr>
      <w:pPr>
        <w:pBdr/>
        <w:spacing/>
        <w:ind/>
      </w:pPr>
      <w:tblPr>
        <w:tblBorders/>
      </w:tblPr>
      <w:tcPr>
        <w:shd w:val="clear" w:color="ffffff"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a5a5a5"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 Accent 4"/>
    <w:basedOn w:val="1064"/>
    <w:uiPriority w:val="9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ffefbf" w:themeFill="accent4" w:themeFillTint="40"/>
        <w:tcBorders/>
      </w:tcPr>
    </w:tblStylePr>
    <w:tblStylePr w:type="band1Vert">
      <w:rPr>
        <w:sz w:val="22"/>
      </w:rPr>
      <w:pPr>
        <w:pBdr/>
        <w:spacing/>
        <w:ind/>
      </w:pPr>
      <w:tblPr>
        <w:tblBorders/>
      </w:tblPr>
      <w:tcPr>
        <w:shd w:val="clear" w:color="ffffff"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fc000"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4 - Accent 5"/>
    <w:basedOn w:val="1064"/>
    <w:uiPriority w:val="9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6e6f4" w:themeFill="accent5" w:themeFillTint="40"/>
        <w:tcBorders/>
      </w:tcPr>
    </w:tblStylePr>
    <w:tblStylePr w:type="band1Vert">
      <w:rPr>
        <w:sz w:val="22"/>
      </w:rPr>
      <w:pPr>
        <w:pBdr/>
        <w:spacing/>
        <w:ind/>
      </w:pPr>
      <w:tblPr>
        <w:tblBorders/>
      </w:tblPr>
      <w:tcPr>
        <w:shd w:val="clear" w:color="ffffff"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b9bd5"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 Accent 6"/>
    <w:basedOn w:val="1064"/>
    <w:uiPriority w:val="9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dbecd0" w:themeFill="accent6" w:themeFillTint="40"/>
        <w:tcBorders/>
      </w:tcPr>
    </w:tblStylePr>
    <w:tblStylePr w:type="band1Vert">
      <w:rPr>
        <w:sz w:val="22"/>
      </w:rPr>
      <w:pPr>
        <w:pBdr/>
        <w:spacing/>
        <w:ind/>
      </w:pPr>
      <w:tblPr>
        <w:tblBorders/>
      </w:tblPr>
      <w:tcPr>
        <w:shd w:val="clear" w:color="ffffff"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70ad47"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w:basedOn w:val="1064"/>
    <w:uiPriority w:val="99"/>
    <w:pPr>
      <w:pBdr/>
      <w:spacing w:after="0" w:line="240" w:lineRule="auto"/>
      <w:ind/>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cPr>
      <w:tcBorders/>
    </w:tcPr>
    <w:tblStylePr w:type="band1Horz">
      <w:pPr>
        <w:pBdr/>
        <w:spacing/>
        <w:ind/>
      </w:pPr>
      <w:tblPr>
        <w:tblBorders/>
      </w:tblPr>
      <w:tcPr>
        <w:shd w:val="clear" w:color="ffffff"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tex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7f7f7f" w:themeFill="text1" w:themeFillTint="80"/>
        <w:tcBorders>
          <w:top w:val="single" w:color="000000" w:themeColor="tex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3">
    <w:name w:val="List Table 5 Dark - Accent 1"/>
    <w:basedOn w:val="1064"/>
    <w:uiPriority w:val="99"/>
    <w:pPr>
      <w:pBdr/>
      <w:spacing w:after="0" w:line="240" w:lineRule="auto"/>
      <w:ind/>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cPr>
      <w:tcBorders/>
    </w:tcPr>
    <w:tblStylePr w:type="band1Horz">
      <w:pPr>
        <w:pBdr/>
        <w:spacing/>
        <w:ind/>
      </w:pPr>
      <w:tblPr>
        <w:tblBorders/>
      </w:tblPr>
      <w:tcPr>
        <w:shd w:val="clear" w:color="ffffff"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4">
    <w:name w:val="List Table 5 Dark - Accent 2"/>
    <w:basedOn w:val="1064"/>
    <w:uiPriority w:val="99"/>
    <w:pPr>
      <w:pBdr/>
      <w:spacing w:after="0" w:line="240" w:lineRule="auto"/>
      <w:ind/>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cPr>
      <w:tcBorders/>
    </w:tcPr>
    <w:tblStylePr w:type="band1Horz">
      <w:pPr>
        <w:pBdr/>
        <w:spacing/>
        <w:ind/>
      </w:pPr>
      <w:tblPr>
        <w:tblBorders/>
      </w:tblPr>
      <w:tcPr>
        <w:shd w:val="clear" w:color="ffffff"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2"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4b285" w:themeFill="accent2" w:themeFillTint="97"/>
        <w:tcBorders>
          <w:top w:val="single" w:color="000000" w:themeColor="accent2"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5">
    <w:name w:val="List Table 5 Dark - Accent 3"/>
    <w:basedOn w:val="1064"/>
    <w:uiPriority w:val="99"/>
    <w:pPr>
      <w:pBdr/>
      <w:spacing w:after="0" w:line="240" w:lineRule="auto"/>
      <w:ind/>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cPr>
      <w:tcBorders/>
    </w:tcPr>
    <w:tblStylePr w:type="band1Horz">
      <w:pPr>
        <w:pBdr/>
        <w:spacing/>
        <w:ind/>
      </w:pPr>
      <w:tblPr>
        <w:tblBorders/>
      </w:tblPr>
      <w:tcPr>
        <w:shd w:val="clear" w:color="ffffff"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3"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c9c9c9" w:themeFill="accent3" w:themeFillTint="98"/>
        <w:tcBorders>
          <w:top w:val="single" w:color="000000" w:themeColor="accent3"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6">
    <w:name w:val="List Table 5 Dark - Accent 4"/>
    <w:basedOn w:val="1064"/>
    <w:uiPriority w:val="99"/>
    <w:pPr>
      <w:pBdr/>
      <w:spacing w:after="0" w:line="240" w:lineRule="auto"/>
      <w:ind/>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cPr>
      <w:tcBorders/>
    </w:tcPr>
    <w:tblStylePr w:type="band1Horz">
      <w:pPr>
        <w:pBdr/>
        <w:spacing/>
        <w:ind/>
      </w:pPr>
      <w:tblPr>
        <w:tblBorders/>
      </w:tblPr>
      <w:tcPr>
        <w:shd w:val="clear" w:color="ffffff"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4"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fd965" w:themeFill="accent4" w:themeFillTint="9A"/>
        <w:tcBorders>
          <w:top w:val="single" w:color="000000" w:themeColor="accent4"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7">
    <w:name w:val="List Table 5 Dark - Accent 5"/>
    <w:basedOn w:val="1064"/>
    <w:uiPriority w:val="99"/>
    <w:pPr>
      <w:pBdr/>
      <w:spacing w:after="0" w:line="240" w:lineRule="auto"/>
      <w:ind/>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cPr>
      <w:tcBorders/>
    </w:tcPr>
    <w:tblStylePr w:type="band1Horz">
      <w:pPr>
        <w:pBdr/>
        <w:spacing/>
        <w:ind/>
      </w:pPr>
      <w:tblPr>
        <w:tblBorders/>
      </w:tblPr>
      <w:tcPr>
        <w:shd w:val="clear" w:color="ffffff"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5"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9cc3e6" w:themeFill="accent5" w:themeFillTint="9A"/>
        <w:tcBorders>
          <w:top w:val="single" w:color="000000" w:themeColor="accent5"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8">
    <w:name w:val="List Table 5 Dark - Accent 6"/>
    <w:basedOn w:val="1064"/>
    <w:uiPriority w:val="99"/>
    <w:pPr>
      <w:pBdr/>
      <w:spacing w:after="0" w:line="240" w:lineRule="auto"/>
      <w:ind/>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cPr>
      <w:tcBorders/>
    </w:tcPr>
    <w:tblStylePr w:type="band1Horz">
      <w:pPr>
        <w:pBdr/>
        <w:spacing/>
        <w:ind/>
      </w:pPr>
      <w:tblPr>
        <w:tblBorders/>
      </w:tblPr>
      <w:tcPr>
        <w:shd w:val="clear" w:color="ffffff"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6"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a9d18f" w:themeFill="accent6" w:themeFillTint="98"/>
        <w:tcBorders>
          <w:top w:val="single" w:color="000000" w:themeColor="accent6"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29">
    <w:name w:val="List Table 6 Colorful"/>
    <w:basedOn w:val="1064"/>
    <w:uiPriority w:val="99"/>
    <w:pPr>
      <w:pBdr/>
      <w:spacing w:after="0" w:line="240" w:lineRule="auto"/>
      <w:ind/>
    </w:pPr>
    <w:tblPr>
      <w:tblStyleRowBandSize w:val="1"/>
      <w:tblStyleColBandSize w:val="1"/>
      <w:tblBorders>
        <w:top w:val="single" w:color="000000" w:themeColor="text1" w:themeTint="80" w:sz="4" w:space="0"/>
        <w:bottom w:val="single" w:color="000000" w:themeColor="text1" w:themeTint="80" w:sz="4" w:space="0"/>
      </w:tblBorders>
    </w:tblPr>
    <w:tcPr>
      <w:tcBorders/>
    </w:tcPr>
    <w:tblStylePr w:type="band1Horz">
      <w:rPr>
        <w:color w:val="404040" w:themeColor="text1"/>
        <w:sz w:val="22"/>
      </w:rPr>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rPr>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 Accent 1"/>
    <w:basedOn w:val="1064"/>
    <w:uiPriority w:val="99"/>
    <w:pPr>
      <w:pBdr/>
      <w:spacing w:after="0" w:line="240" w:lineRule="auto"/>
      <w:ind/>
    </w:pPr>
    <w:tblPr>
      <w:tblStyleRowBandSize w:val="1"/>
      <w:tblStyleColBandSize w:val="1"/>
      <w:tblBorders>
        <w:top w:val="single" w:color="000000" w:themeColor="accent1" w:sz="4" w:space="0"/>
        <w:bottom w:val="single" w:color="000000" w:themeColor="accent1" w:sz="4" w:space="0"/>
      </w:tblBorders>
    </w:tblPr>
    <w:tcPr>
      <w:tcBorders/>
    </w:tcPr>
    <w:tblStylePr w:type="band1Horz">
      <w:rPr>
        <w:color w:val="404040" w:themeColor="accent1" w:themeShade="95"/>
        <w:sz w:val="22"/>
      </w:rPr>
      <w:pPr>
        <w:pBdr/>
        <w:spacing/>
        <w:ind/>
      </w:pPr>
      <w:tblPr>
        <w:tblBorders/>
      </w:tblPr>
      <w:tcPr>
        <w:shd w:val="clear" w:color="ffffff" w:fill="d0dcf0" w:themeFill="accent1" w:themeFillTint="40"/>
        <w:tcBorders/>
      </w:tcPr>
    </w:tblStylePr>
    <w:tblStylePr w:type="band1Vert">
      <w:pPr>
        <w:pBdr/>
        <w:spacing/>
        <w:ind/>
      </w:pPr>
      <w:tblPr>
        <w:tblBorders/>
      </w:tblPr>
      <w:tcPr>
        <w:shd w:val="clear" w:color="ffffff" w:fill="d0dcf0" w:themeFill="accent1" w:themeFillTint="40"/>
        <w:tcBorders/>
      </w:tcPr>
    </w:tblStylePr>
    <w:tblStylePr w:type="band2Horz">
      <w:rPr>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 Accent 2"/>
    <w:basedOn w:val="1064"/>
    <w:uiPriority w:val="99"/>
    <w:pPr>
      <w:pBdr/>
      <w:spacing w:after="0" w:line="240" w:lineRule="auto"/>
      <w:ind/>
    </w:pPr>
    <w:tblPr>
      <w:tblStyleRowBandSize w:val="1"/>
      <w:tblStyleColBandSize w:val="1"/>
      <w:tblBorders>
        <w:top w:val="single" w:color="000000" w:themeColor="accent2" w:themeTint="97" w:sz="4" w:space="0"/>
        <w:bottom w:val="single" w:color="000000" w:themeColor="accent2" w:themeTint="97" w:sz="4" w:space="0"/>
      </w:tblBorders>
    </w:tblPr>
    <w:tcPr>
      <w:tcBorders/>
    </w:tcPr>
    <w:tblStylePr w:type="band1Horz">
      <w:rPr>
        <w:color w:val="404040" w:themeColor="accent2" w:themeTint="97" w:themeShade="95"/>
        <w:sz w:val="22"/>
      </w:rPr>
      <w:pPr>
        <w:pBdr/>
        <w:spacing/>
        <w:ind/>
      </w:pPr>
      <w:tblPr>
        <w:tblBorders/>
      </w:tblPr>
      <w:tcPr>
        <w:shd w:val="clear" w:color="ffffff" w:fill="fadecb" w:themeFill="accent2" w:themeFillTint="40"/>
        <w:tcBorders/>
      </w:tcPr>
    </w:tblStylePr>
    <w:tblStylePr w:type="band1Vert">
      <w:pPr>
        <w:pBdr/>
        <w:spacing/>
        <w:ind/>
      </w:pPr>
      <w:tblPr>
        <w:tblBorders/>
      </w:tblPr>
      <w:tcPr>
        <w:shd w:val="clear" w:color="ffffff" w:fill="fadecb" w:themeFill="accent2" w:themeFillTint="40"/>
        <w:tcBorders/>
      </w:tcPr>
    </w:tblStylePr>
    <w:tblStylePr w:type="band2Horz">
      <w:rPr>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 Accent 3"/>
    <w:basedOn w:val="1064"/>
    <w:uiPriority w:val="99"/>
    <w:pPr>
      <w:pBdr/>
      <w:spacing w:after="0" w:line="240" w:lineRule="auto"/>
      <w:ind/>
    </w:pPr>
    <w:tblPr>
      <w:tblStyleRowBandSize w:val="1"/>
      <w:tblStyleColBandSize w:val="1"/>
      <w:tblBorders>
        <w:top w:val="single" w:color="000000" w:themeColor="accent3" w:themeTint="98" w:sz="4" w:space="0"/>
        <w:bottom w:val="single" w:color="000000" w:themeColor="accent3" w:themeTint="98" w:sz="4" w:space="0"/>
      </w:tblBorders>
    </w:tblPr>
    <w:tcPr>
      <w:tcBorders/>
    </w:tcPr>
    <w:tblStylePr w:type="band1Horz">
      <w:rPr>
        <w:color w:val="404040" w:themeColor="accent3" w:themeTint="98" w:themeShade="95"/>
        <w:sz w:val="22"/>
      </w:rPr>
      <w:pPr>
        <w:pBdr/>
        <w:spacing/>
        <w:ind/>
      </w:pPr>
      <w:tblPr>
        <w:tblBorders/>
      </w:tblPr>
      <w:tcPr>
        <w:shd w:val="clear" w:color="ffffff" w:fill="e8e8e8" w:themeFill="accent3" w:themeFillTint="40"/>
        <w:tcBorders/>
      </w:tcPr>
    </w:tblStylePr>
    <w:tblStylePr w:type="band1Vert">
      <w:pPr>
        <w:pBdr/>
        <w:spacing/>
        <w:ind/>
      </w:pPr>
      <w:tblPr>
        <w:tblBorders/>
      </w:tblPr>
      <w:tcPr>
        <w:shd w:val="clear" w:color="ffffff" w:fill="e8e8e8" w:themeFill="accent3" w:themeFillTint="40"/>
        <w:tcBorders/>
      </w:tcPr>
    </w:tblStylePr>
    <w:tblStylePr w:type="band2Horz">
      <w:rPr>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 Accent 4"/>
    <w:basedOn w:val="1064"/>
    <w:uiPriority w:val="99"/>
    <w:pPr>
      <w:pBdr/>
      <w:spacing w:after="0" w:line="240" w:lineRule="auto"/>
      <w:ind/>
    </w:pPr>
    <w:tblPr>
      <w:tblStyleRowBandSize w:val="1"/>
      <w:tblStyleColBandSize w:val="1"/>
      <w:tblBorders>
        <w:top w:val="single" w:color="000000" w:themeColor="accent4" w:themeTint="9A" w:sz="4" w:space="0"/>
        <w:bottom w:val="single" w:color="000000" w:themeColor="accent4" w:themeTint="9A" w:sz="4" w:space="0"/>
      </w:tblBorders>
    </w:tblPr>
    <w:tcPr>
      <w:tcBorders/>
    </w:tcPr>
    <w:tblStylePr w:type="band1Horz">
      <w:rPr>
        <w:color w:val="404040" w:themeColor="accent4" w:themeTint="9A" w:themeShade="95"/>
        <w:sz w:val="22"/>
      </w:rPr>
      <w:pPr>
        <w:pBdr/>
        <w:spacing/>
        <w:ind/>
      </w:pPr>
      <w:tblPr>
        <w:tblBorders/>
      </w:tblPr>
      <w:tcPr>
        <w:shd w:val="clear" w:color="ffffff" w:fill="ffefbf" w:themeFill="accent4" w:themeFillTint="40"/>
        <w:tcBorders/>
      </w:tcPr>
    </w:tblStylePr>
    <w:tblStylePr w:type="band1Vert">
      <w:pPr>
        <w:pBdr/>
        <w:spacing/>
        <w:ind/>
      </w:pPr>
      <w:tblPr>
        <w:tblBorders/>
      </w:tblPr>
      <w:tcPr>
        <w:shd w:val="clear" w:color="ffffff" w:fill="ffefbf" w:themeFill="accent4" w:themeFillTint="40"/>
        <w:tcBorders/>
      </w:tcPr>
    </w:tblStylePr>
    <w:tblStylePr w:type="band2Horz">
      <w:rPr>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6 Colorful - Accent 5"/>
    <w:basedOn w:val="1064"/>
    <w:uiPriority w:val="99"/>
    <w:pPr>
      <w:pBdr/>
      <w:spacing w:after="0" w:line="240" w:lineRule="auto"/>
      <w:ind/>
    </w:pPr>
    <w:tblPr>
      <w:tblStyleRowBandSize w:val="1"/>
      <w:tblStyleColBandSize w:val="1"/>
      <w:tblBorders>
        <w:top w:val="single" w:color="000000" w:themeColor="accent5" w:themeTint="9A" w:sz="4" w:space="0"/>
        <w:bottom w:val="single" w:color="000000" w:themeColor="accent5" w:themeTint="9A" w:sz="4" w:space="0"/>
      </w:tblBorders>
    </w:tblPr>
    <w:tcPr>
      <w:tcBorders/>
    </w:tcPr>
    <w:tblStylePr w:type="band1Horz">
      <w:rPr>
        <w:color w:val="404040" w:themeColor="accent5" w:themeTint="9A" w:themeShade="95"/>
        <w:sz w:val="22"/>
      </w:rPr>
      <w:pPr>
        <w:pBdr/>
        <w:spacing/>
        <w:ind/>
      </w:pPr>
      <w:tblPr>
        <w:tblBorders/>
      </w:tblPr>
      <w:tcPr>
        <w:shd w:val="clear" w:color="ffffff" w:fill="d6e6f4" w:themeFill="accent5" w:themeFillTint="40"/>
        <w:tcBorders/>
      </w:tcPr>
    </w:tblStylePr>
    <w:tblStylePr w:type="band1Vert">
      <w:pPr>
        <w:pBdr/>
        <w:spacing/>
        <w:ind/>
      </w:pPr>
      <w:tblPr>
        <w:tblBorders/>
      </w:tblPr>
      <w:tcPr>
        <w:shd w:val="clear" w:color="ffffff" w:fill="d6e6f4" w:themeFill="accent5" w:themeFillTint="40"/>
        <w:tcBorders/>
      </w:tcPr>
    </w:tblStylePr>
    <w:tblStylePr w:type="band2Horz">
      <w:rPr>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 Accent 6"/>
    <w:basedOn w:val="1064"/>
    <w:uiPriority w:val="99"/>
    <w:pPr>
      <w:pBdr/>
      <w:spacing w:after="0" w:line="240" w:lineRule="auto"/>
      <w:ind/>
    </w:pPr>
    <w:tblPr>
      <w:tblStyleRowBandSize w:val="1"/>
      <w:tblStyleColBandSize w:val="1"/>
      <w:tblBorders>
        <w:top w:val="single" w:color="000000" w:themeColor="accent6" w:themeTint="98" w:sz="4" w:space="0"/>
        <w:bottom w:val="single" w:color="000000" w:themeColor="accent6" w:themeTint="98" w:sz="4" w:space="0"/>
      </w:tblBorders>
    </w:tblPr>
    <w:tcPr>
      <w:tcBorders/>
    </w:tcPr>
    <w:tblStylePr w:type="band1Horz">
      <w:rPr>
        <w:color w:val="404040" w:themeColor="accent6" w:themeTint="98" w:themeShade="95"/>
        <w:sz w:val="22"/>
      </w:rPr>
      <w:pPr>
        <w:pBdr/>
        <w:spacing/>
        <w:ind/>
      </w:pPr>
      <w:tblPr>
        <w:tblBorders/>
      </w:tblPr>
      <w:tcPr>
        <w:shd w:val="clear" w:color="ffffff" w:fill="dbecd0" w:themeFill="accent6" w:themeFillTint="40"/>
        <w:tcBorders/>
      </w:tcPr>
    </w:tblStylePr>
    <w:tblStylePr w:type="band1Vert">
      <w:pPr>
        <w:pBdr/>
        <w:spacing/>
        <w:ind/>
      </w:pPr>
      <w:tblPr>
        <w:tblBorders/>
      </w:tblPr>
      <w:tcPr>
        <w:shd w:val="clear" w:color="ffffff" w:fill="dbecd0" w:themeFill="accent6" w:themeFillTint="40"/>
        <w:tcBorders/>
      </w:tcPr>
    </w:tblStylePr>
    <w:tblStylePr w:type="band2Horz">
      <w:rPr>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w:basedOn w:val="1064"/>
    <w:uiPriority w:val="99"/>
    <w:pPr>
      <w:pBdr/>
      <w:spacing w:after="0" w:line="240" w:lineRule="auto"/>
      <w:ind/>
    </w:pPr>
    <w:tblPr>
      <w:tblStyleRowBandSize w:val="1"/>
      <w:tblStyleColBandSize w:val="1"/>
      <w:tblBorders>
        <w:right w:val="single" w:color="000000"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fffff" w:fill="bfbfbf" w:themeFill="text1" w:themeFillTint="40"/>
        <w:tcBorders/>
      </w:tcPr>
    </w:tblStylePr>
    <w:tblStylePr w:type="band1Vert">
      <w:pPr>
        <w:pBdr/>
        <w:spacing/>
        <w:ind/>
      </w:pPr>
      <w:tblPr>
        <w:tblBorders/>
      </w:tblPr>
      <w:tcPr>
        <w:shd w:val="clear" w:color="ffffff" w:fill="bfbfbf" w:themeFill="text1" w:themeFillTint="4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i/>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i/>
        <w:color w:val="4a4a4a" w:themeColor="text1" w:themeTint="80" w:themeShade="95"/>
        <w:sz w:val="22"/>
      </w:rPr>
      <w:pPr>
        <w:pBdr/>
        <w:spacing/>
        <w:ind/>
      </w:pPr>
      <w:tblPr>
        <w:tblBorders/>
      </w:tbl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4a4a4a" w:themeColor="text1" w:themeTint="80" w:themeShade="95"/>
        <w:sz w:val="22"/>
      </w:rPr>
      <w:pPr>
        <w:pBdr/>
        <w:spacing/>
        <w:ind/>
      </w:pPr>
      <w:tblPr>
        <w:tblBorders/>
      </w:tblPr>
      <w:tcPr>
        <w:tcBorders/>
      </w:tcPr>
    </w:tblStylePr>
  </w:style>
  <w:style w:type="table" w:styleId="1037">
    <w:name w:val="List Table 7 Colorful - Accent 1"/>
    <w:basedOn w:val="1064"/>
    <w:uiPriority w:val="99"/>
    <w:pPr>
      <w:pBdr/>
      <w:spacing w:after="0" w:line="240" w:lineRule="auto"/>
      <w:ind/>
    </w:pPr>
    <w:tblPr>
      <w:tblStyleRowBandSize w:val="1"/>
      <w:tblStyleColBandSize w:val="1"/>
      <w:tblBorders>
        <w:right w:val="single" w:color="000000" w:themeColor="accent1" w:sz="4" w:space="0"/>
      </w:tblBorders>
    </w:tblPr>
    <w:tcPr>
      <w:tcBorders/>
    </w:tcPr>
    <w:tblStylePr w:type="band1Horz">
      <w:rPr>
        <w:color w:val="254275" w:themeColor="accent1" w:themeShade="95"/>
        <w:sz w:val="22"/>
      </w:rPr>
      <w:pPr>
        <w:pBdr/>
        <w:spacing/>
        <w:ind/>
      </w:pPr>
      <w:tblPr>
        <w:tblBorders/>
      </w:tblPr>
      <w:tcPr>
        <w:shd w:val="clear" w:color="ffffff" w:fill="d0dcf0" w:themeFill="accent1" w:themeFillTint="40"/>
        <w:tcBorders/>
      </w:tcPr>
    </w:tblStylePr>
    <w:tblStylePr w:type="band1Vert">
      <w:pPr>
        <w:pBdr/>
        <w:spacing/>
        <w:ind/>
      </w:pPr>
      <w:tblPr>
        <w:tblBorders/>
      </w:tblPr>
      <w:tcPr>
        <w:shd w:val="clear" w:color="ffffff" w:fill="d0dcf0" w:themeFill="accent1" w:themeFillTint="40"/>
        <w:tcBorders/>
      </w:tcPr>
    </w:tblStylePr>
    <w:tblStylePr w:type="band2Horz">
      <w:rPr>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i/>
        <w:color w:val="254275" w:themeColor="accent1"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i/>
        <w:color w:val="254275" w:themeColor="accent1" w:themeShade="95"/>
        <w:sz w:val="22"/>
      </w:rPr>
      <w:pPr>
        <w:pBdr/>
        <w:spacing/>
        <w:ind/>
      </w:pPr>
      <w:tblPr>
        <w:tblBorders/>
      </w:tbl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254275" w:themeColor="accent1" w:themeShade="95"/>
        <w:sz w:val="22"/>
      </w:rPr>
      <w:pPr>
        <w:pBdr/>
        <w:spacing/>
        <w:ind/>
      </w:pPr>
      <w:tblPr>
        <w:tblBorders/>
      </w:tblPr>
      <w:tcPr>
        <w:tcBorders/>
      </w:tcPr>
    </w:tblStylePr>
  </w:style>
  <w:style w:type="table" w:styleId="1038">
    <w:name w:val="List Table 7 Colorful - Accent 2"/>
    <w:basedOn w:val="1064"/>
    <w:uiPriority w:val="99"/>
    <w:pPr>
      <w:pBdr/>
      <w:spacing w:after="0" w:line="240" w:lineRule="auto"/>
      <w:ind/>
    </w:pPr>
    <w:tblPr>
      <w:tblStyleRowBandSize w:val="1"/>
      <w:tblStyleColBandSize w:val="1"/>
      <w:tblBorders>
        <w:right w:val="single" w:color="000000" w:themeColor="accent2" w:themeTint="97" w:sz="4" w:space="0"/>
      </w:tblBorders>
    </w:tblPr>
    <w:tcPr>
      <w:tcBorders/>
    </w:tcPr>
    <w:tblStylePr w:type="band1Horz">
      <w:rPr>
        <w:color w:val="cb5d12" w:themeColor="accent2" w:themeTint="97" w:themeShade="95"/>
        <w:sz w:val="22"/>
      </w:rPr>
      <w:pPr>
        <w:pBdr/>
        <w:spacing/>
        <w:ind/>
      </w:pPr>
      <w:tblPr>
        <w:tblBorders/>
      </w:tblPr>
      <w:tcPr>
        <w:shd w:val="clear" w:color="ffffff" w:fill="fadecb" w:themeFill="accent2" w:themeFillTint="40"/>
        <w:tcBorders/>
      </w:tcPr>
    </w:tblStylePr>
    <w:tblStylePr w:type="band1Vert">
      <w:pPr>
        <w:pBdr/>
        <w:spacing/>
        <w:ind/>
      </w:pPr>
      <w:tblPr>
        <w:tblBorders/>
      </w:tblPr>
      <w:tcPr>
        <w:shd w:val="clear" w:color="ffffff" w:fill="fadecb" w:themeFill="accent2" w:themeFillTint="40"/>
        <w:tcBorders/>
      </w:tcPr>
    </w:tblStylePr>
    <w:tblStylePr w:type="band2Horz">
      <w:rPr>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i/>
        <w:color w:val="cb5d12"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b5d12" w:themeColor="accent2" w:themeTint="97" w:themeShade="95"/>
        <w:sz w:val="22"/>
      </w:rPr>
      <w:pPr>
        <w:pBdr/>
        <w:spacing/>
        <w:ind/>
      </w:pPr>
      <w:tblPr>
        <w:tblBorders/>
      </w:tbl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i/>
        <w:color w:val="cb5d12" w:themeColor="accent2" w:themeTint="97" w:themeShade="95"/>
        <w:sz w:val="22"/>
      </w:rPr>
      <w:pPr>
        <w:pBdr/>
        <w:spacing/>
        <w:ind/>
      </w:pPr>
      <w:tblPr>
        <w:tblBorders/>
      </w:tbl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cb5d12" w:themeColor="accent2" w:themeTint="97" w:themeShade="95"/>
        <w:sz w:val="22"/>
      </w:rPr>
      <w:pPr>
        <w:pBdr/>
        <w:spacing/>
        <w:ind/>
      </w:pPr>
      <w:tblPr>
        <w:tblBorders/>
      </w:tblPr>
      <w:tcPr>
        <w:tcBorders/>
      </w:tcPr>
    </w:tblStylePr>
  </w:style>
  <w:style w:type="table" w:styleId="1039">
    <w:name w:val="List Table 7 Colorful - Accent 3"/>
    <w:basedOn w:val="1064"/>
    <w:uiPriority w:val="99"/>
    <w:pPr>
      <w:pBdr/>
      <w:spacing w:after="0" w:line="240" w:lineRule="auto"/>
      <w:ind/>
    </w:pPr>
    <w:tblPr>
      <w:tblStyleRowBandSize w:val="1"/>
      <w:tblStyleColBandSize w:val="1"/>
      <w:tblBorders>
        <w:right w:val="single" w:color="000000" w:themeColor="accent3" w:themeTint="98" w:sz="4" w:space="0"/>
      </w:tblBorders>
    </w:tblPr>
    <w:tcPr>
      <w:tcBorders/>
    </w:tcPr>
    <w:tblStylePr w:type="band1Horz">
      <w:rPr>
        <w:color w:val="767676" w:themeColor="accent3" w:themeTint="98" w:themeShade="95"/>
        <w:sz w:val="22"/>
      </w:rPr>
      <w:pPr>
        <w:pBdr/>
        <w:spacing/>
        <w:ind/>
      </w:pPr>
      <w:tblPr>
        <w:tblBorders/>
      </w:tblPr>
      <w:tcPr>
        <w:shd w:val="clear" w:color="ffffff" w:fill="e8e8e8" w:themeFill="accent3" w:themeFillTint="40"/>
        <w:tcBorders/>
      </w:tcPr>
    </w:tblStylePr>
    <w:tblStylePr w:type="band1Vert">
      <w:pPr>
        <w:pBdr/>
        <w:spacing/>
        <w:ind/>
      </w:pPr>
      <w:tblPr>
        <w:tblBorders/>
      </w:tblPr>
      <w:tcPr>
        <w:shd w:val="clear" w:color="ffffff" w:fill="e8e8e8" w:themeFill="accent3" w:themeFillTint="40"/>
        <w:tcBorders/>
      </w:tcPr>
    </w:tblStylePr>
    <w:tblStylePr w:type="band2Horz">
      <w:rPr>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i/>
        <w:color w:val="767676" w:themeColor="accent3"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767676" w:themeColor="accent3" w:themeTint="98" w:themeShade="95"/>
        <w:sz w:val="22"/>
      </w:rPr>
      <w:pPr>
        <w:pBdr/>
        <w:spacing/>
        <w:ind/>
      </w:pPr>
      <w:tblPr>
        <w:tblBorders/>
      </w:tbl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i/>
        <w:color w:val="767676" w:themeColor="accent3" w:themeTint="98" w:themeShade="95"/>
        <w:sz w:val="22"/>
      </w:rPr>
      <w:pPr>
        <w:pBdr/>
        <w:spacing/>
        <w:ind/>
      </w:pPr>
      <w:tblPr>
        <w:tblBorders/>
      </w:tbl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767676" w:themeColor="accent3" w:themeTint="98" w:themeShade="95"/>
        <w:sz w:val="22"/>
      </w:rPr>
      <w:pPr>
        <w:pBdr/>
        <w:spacing/>
        <w:ind/>
      </w:pPr>
      <w:tblPr>
        <w:tblBorders/>
      </w:tblPr>
      <w:tcPr>
        <w:tcBorders/>
      </w:tcPr>
    </w:tblStylePr>
  </w:style>
  <w:style w:type="table" w:styleId="1040">
    <w:name w:val="List Table 7 Colorful - Accent 4"/>
    <w:basedOn w:val="1064"/>
    <w:uiPriority w:val="99"/>
    <w:pPr>
      <w:pBdr/>
      <w:spacing w:after="0" w:line="240" w:lineRule="auto"/>
      <w:ind/>
    </w:pPr>
    <w:tblPr>
      <w:tblStyleRowBandSize w:val="1"/>
      <w:tblStyleColBandSize w:val="1"/>
      <w:tblBorders>
        <w:right w:val="single" w:color="000000" w:themeColor="accent4" w:themeTint="9A" w:sz="4" w:space="0"/>
      </w:tblBorders>
    </w:tblPr>
    <w:tcPr>
      <w:tcBorders/>
    </w:tcPr>
    <w:tblStylePr w:type="band1Horz">
      <w:rPr>
        <w:color w:val="d09d00" w:themeColor="accent4" w:themeTint="9A" w:themeShade="95"/>
        <w:sz w:val="22"/>
      </w:rPr>
      <w:pPr>
        <w:pBdr/>
        <w:spacing/>
        <w:ind/>
      </w:pPr>
      <w:tblPr>
        <w:tblBorders/>
      </w:tblPr>
      <w:tcPr>
        <w:shd w:val="clear" w:color="ffffff" w:fill="ffefbf" w:themeFill="accent4" w:themeFillTint="40"/>
        <w:tcBorders/>
      </w:tcPr>
    </w:tblStylePr>
    <w:tblStylePr w:type="band1Vert">
      <w:pPr>
        <w:pBdr/>
        <w:spacing/>
        <w:ind/>
      </w:pPr>
      <w:tblPr>
        <w:tblBorders/>
      </w:tblPr>
      <w:tcPr>
        <w:shd w:val="clear" w:color="ffffff" w:fill="ffefbf" w:themeFill="accent4" w:themeFillTint="40"/>
        <w:tcBorders/>
      </w:tcPr>
    </w:tblStylePr>
    <w:tblStylePr w:type="band2Horz">
      <w:rPr>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i/>
        <w:color w:val="d09d00"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d09d00" w:themeColor="accent4" w:themeTint="9A" w:themeShade="95"/>
        <w:sz w:val="22"/>
      </w:rPr>
      <w:pPr>
        <w:pBdr/>
        <w:spacing/>
        <w:ind/>
      </w:pPr>
      <w:tblPr>
        <w:tblBorders/>
      </w:tbl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i/>
        <w:color w:val="d09d00" w:themeColor="accent4" w:themeTint="9A" w:themeShade="95"/>
        <w:sz w:val="22"/>
      </w:rPr>
      <w:pPr>
        <w:pBdr/>
        <w:spacing/>
        <w:ind/>
      </w:pPr>
      <w:tblPr>
        <w:tblBorders/>
      </w:tbl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d09d00" w:themeColor="accent4" w:themeTint="9A" w:themeShade="95"/>
        <w:sz w:val="22"/>
      </w:rPr>
      <w:pPr>
        <w:pBdr/>
        <w:spacing/>
        <w:ind/>
      </w:pPr>
      <w:tblPr>
        <w:tblBorders/>
      </w:tblPr>
      <w:tcPr>
        <w:tcBorders/>
      </w:tcPr>
    </w:tblStylePr>
  </w:style>
  <w:style w:type="table" w:styleId="1041">
    <w:name w:val="List Table 7 Colorful - Accent 5"/>
    <w:basedOn w:val="1064"/>
    <w:uiPriority w:val="99"/>
    <w:pPr>
      <w:pBdr/>
      <w:spacing w:after="0" w:line="240" w:lineRule="auto"/>
      <w:ind/>
    </w:pPr>
    <w:tblPr>
      <w:tblStyleRowBandSize w:val="1"/>
      <w:tblStyleColBandSize w:val="1"/>
      <w:tblBorders>
        <w:right w:val="single" w:color="000000" w:themeColor="accent5" w:themeTint="9A" w:sz="4" w:space="0"/>
      </w:tblBorders>
    </w:tblPr>
    <w:tcPr>
      <w:tcBorders/>
    </w:tcPr>
    <w:tblStylePr w:type="band1Horz">
      <w:rPr>
        <w:color w:val="2e74b3" w:themeColor="accent5" w:themeTint="9A" w:themeShade="95"/>
        <w:sz w:val="22"/>
      </w:rPr>
      <w:pPr>
        <w:pBdr/>
        <w:spacing/>
        <w:ind/>
      </w:pPr>
      <w:tblPr>
        <w:tblBorders/>
      </w:tblPr>
      <w:tcPr>
        <w:shd w:val="clear" w:color="ffffff" w:fill="d6e6f4" w:themeFill="accent5" w:themeFillTint="40"/>
        <w:tcBorders/>
      </w:tcPr>
    </w:tblStylePr>
    <w:tblStylePr w:type="band1Vert">
      <w:pPr>
        <w:pBdr/>
        <w:spacing/>
        <w:ind/>
      </w:pPr>
      <w:tblPr>
        <w:tblBorders/>
      </w:tblPr>
      <w:tcPr>
        <w:shd w:val="clear" w:color="ffffff" w:fill="d6e6f4" w:themeFill="accent5" w:themeFillTint="40"/>
        <w:tcBorders/>
      </w:tcPr>
    </w:tblStylePr>
    <w:tblStylePr w:type="band2Horz">
      <w:rPr>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i/>
        <w:color w:val="2e74b3" w:themeColor="accent5"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e74b3" w:themeColor="accent5" w:themeTint="9A" w:themeShade="95"/>
        <w:sz w:val="22"/>
      </w:rPr>
      <w:pPr>
        <w:pBdr/>
        <w:spacing/>
        <w:ind/>
      </w:pPr>
      <w:tblPr>
        <w:tblBorders/>
      </w:tbl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i/>
        <w:color w:val="2e74b3" w:themeColor="accent5" w:themeTint="9A" w:themeShade="95"/>
        <w:sz w:val="22"/>
      </w:rPr>
      <w:pPr>
        <w:pBdr/>
        <w:spacing/>
        <w:ind/>
      </w:pPr>
      <w:tblPr>
        <w:tblBorders/>
      </w:tbl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2e74b3" w:themeColor="accent5" w:themeTint="9A" w:themeShade="95"/>
        <w:sz w:val="22"/>
      </w:rPr>
      <w:pPr>
        <w:pBdr/>
        <w:spacing/>
        <w:ind/>
      </w:pPr>
      <w:tblPr>
        <w:tblBorders/>
      </w:tblPr>
      <w:tcPr>
        <w:tcBorders/>
      </w:tcPr>
    </w:tblStylePr>
  </w:style>
  <w:style w:type="table" w:styleId="1042">
    <w:name w:val="List Table 7 Colorful - Accent 6"/>
    <w:basedOn w:val="1064"/>
    <w:uiPriority w:val="99"/>
    <w:pPr>
      <w:pBdr/>
      <w:spacing w:after="0" w:line="240" w:lineRule="auto"/>
      <w:ind/>
    </w:pPr>
    <w:tblPr>
      <w:tblStyleRowBandSize w:val="1"/>
      <w:tblStyleColBandSize w:val="1"/>
      <w:tblBorders>
        <w:right w:val="single" w:color="000000" w:themeColor="accent6" w:themeTint="98" w:sz="4" w:space="0"/>
      </w:tblBorders>
    </w:tblPr>
    <w:tcPr>
      <w:tcBorders/>
    </w:tcPr>
    <w:tblStylePr w:type="band1Horz">
      <w:rPr>
        <w:color w:val="5e923c" w:themeColor="accent6" w:themeTint="98" w:themeShade="95"/>
        <w:sz w:val="22"/>
      </w:rPr>
      <w:pPr>
        <w:pBdr/>
        <w:spacing/>
        <w:ind/>
      </w:pPr>
      <w:tblPr>
        <w:tblBorders/>
      </w:tblPr>
      <w:tcPr>
        <w:shd w:val="clear" w:color="ffffff" w:fill="dbecd0" w:themeFill="accent6" w:themeFillTint="40"/>
        <w:tcBorders/>
      </w:tcPr>
    </w:tblStylePr>
    <w:tblStylePr w:type="band1Vert">
      <w:pPr>
        <w:pBdr/>
        <w:spacing/>
        <w:ind/>
      </w:pPr>
      <w:tblPr>
        <w:tblBorders/>
      </w:tblPr>
      <w:tcPr>
        <w:shd w:val="clear" w:color="ffffff" w:fill="dbecd0" w:themeFill="accent6" w:themeFillTint="40"/>
        <w:tcBorders/>
      </w:tcPr>
    </w:tblStylePr>
    <w:tblStylePr w:type="band2Horz">
      <w:rPr>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i/>
        <w:color w:val="5e923c" w:themeColor="accent6"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5e923c" w:themeColor="accent6" w:themeTint="98" w:themeShade="95"/>
        <w:sz w:val="22"/>
      </w:rPr>
      <w:pPr>
        <w:pBdr/>
        <w:spacing/>
        <w:ind/>
      </w:pPr>
      <w:tblPr>
        <w:tblBorders/>
      </w:tbl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i/>
        <w:color w:val="5e923c" w:themeColor="accent6" w:themeTint="98" w:themeShade="95"/>
        <w:sz w:val="22"/>
      </w:rPr>
      <w:pPr>
        <w:pBdr/>
        <w:spacing/>
        <w:ind/>
      </w:pPr>
      <w:tblPr>
        <w:tblBorders/>
      </w:tbl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5e923c" w:themeColor="accent6" w:themeTint="98" w:themeShade="95"/>
        <w:sz w:val="22"/>
      </w:rPr>
      <w:pPr>
        <w:pBdr/>
        <w:spacing/>
        <w:ind/>
      </w:pPr>
      <w:tblPr>
        <w:tblBorders/>
      </w:tblPr>
      <w:tcPr>
        <w:tcBorders/>
      </w:tcPr>
    </w:tblStylePr>
  </w:style>
  <w:style w:type="table" w:styleId="1043">
    <w:name w:val="Lined - Accent"/>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2f2f2" w:themeFill="text1" w:themeFillTint="00"/>
        <w:tcBorders/>
      </w:tcPr>
    </w:tblStylePr>
    <w:tblStylePr w:type="band2Vert">
      <w:rPr>
        <w:sz w:val="22"/>
      </w:rPr>
      <w:pPr>
        <w:pBdr/>
        <w:spacing/>
        <w:ind/>
      </w:pPr>
      <w:tblPr>
        <w:tblBorders/>
      </w:tblPr>
      <w:tcPr>
        <w:shd w:val="clear" w:color="ffffff" w:fill="f2f2f2" w:themeFill="text1" w:themeFillTint="00"/>
        <w:tcBorders/>
      </w:tcPr>
    </w:tblStylePr>
    <w:tblStylePr w:type="firstCol">
      <w:rPr>
        <w:sz w:val="22"/>
      </w:rPr>
      <w:pPr>
        <w:pBdr/>
        <w:spacing/>
        <w:ind/>
      </w:pPr>
      <w:tblPr>
        <w:tblBorders/>
      </w:tblPr>
      <w:tcPr>
        <w:shd w:val="clear" w:color="ffffff" w:fill="7f7f7f" w:themeFill="text1" w:themeFillTint="80"/>
        <w:tcBorders/>
      </w:tcPr>
    </w:tblStylePr>
    <w:tblStylePr w:type="firstRow">
      <w:rPr>
        <w:sz w:val="22"/>
      </w:rPr>
      <w:pPr>
        <w:pBdr/>
        <w:spacing/>
        <w:ind/>
      </w:pPr>
      <w:tblPr>
        <w:tblBorders/>
      </w:tblPr>
      <w:tcPr>
        <w:shd w:val="clear" w:color="ffffff" w:fill="7f7f7f" w:themeFill="text1" w:themeFillTint="80"/>
        <w:tcBorders/>
      </w:tcPr>
    </w:tblStylePr>
    <w:tblStylePr w:type="lastCol">
      <w:rPr>
        <w:sz w:val="22"/>
      </w:rPr>
      <w:pPr>
        <w:pBdr/>
        <w:spacing/>
        <w:ind/>
      </w:pPr>
      <w:tblPr>
        <w:tblBorders/>
      </w:tblPr>
      <w:tcPr>
        <w:shd w:val="clear" w:color="ffffff" w:fill="7f7f7f" w:themeFill="text1" w:themeFillTint="80"/>
        <w:tcBorders/>
      </w:tcPr>
    </w:tblStylePr>
    <w:tblStylePr w:type="lastRow">
      <w:rPr>
        <w:sz w:val="22"/>
      </w:rPr>
      <w:pPr>
        <w:pBdr/>
        <w:spacing/>
        <w:ind/>
      </w:pPr>
      <w:tblPr>
        <w:tblBorders/>
      </w:tblPr>
      <w:tcPr>
        <w:shd w:val="clear" w:color="fffff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ned - Accent 1"/>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c4d3ec" w:themeFill="accent1" w:themeFillTint="50"/>
        <w:tcBorders/>
      </w:tcPr>
    </w:tblStylePr>
    <w:tblStylePr w:type="band2Vert">
      <w:rPr>
        <w:sz w:val="22"/>
      </w:rPr>
      <w:pPr>
        <w:pBdr/>
        <w:spacing/>
        <w:ind/>
      </w:pPr>
      <w:tblPr>
        <w:tblBorders/>
      </w:tblPr>
      <w:tcPr>
        <w:shd w:val="clear" w:color="ffffff" w:fill="c4d3ec" w:themeFill="accent1" w:themeFillTint="50"/>
        <w:tcBorders/>
      </w:tcPr>
    </w:tblStylePr>
    <w:tblStylePr w:type="firstCol">
      <w:rPr>
        <w:sz w:val="22"/>
      </w:rPr>
      <w:pPr>
        <w:pBdr/>
        <w:spacing/>
        <w:ind/>
      </w:pPr>
      <w:tblPr>
        <w:tblBorders/>
      </w:tblPr>
      <w:tcPr>
        <w:shd w:val="clear" w:color="ffffff" w:fill="537ec9" w:themeFill="accent1" w:themeFillTint="EA"/>
        <w:tcBorders/>
      </w:tcPr>
    </w:tblStylePr>
    <w:tblStylePr w:type="firstRow">
      <w:rPr>
        <w:sz w:val="22"/>
      </w:rPr>
      <w:pPr>
        <w:pBdr/>
        <w:spacing/>
        <w:ind/>
      </w:pPr>
      <w:tblPr>
        <w:tblBorders/>
      </w:tblPr>
      <w:tcPr>
        <w:shd w:val="clear" w:color="ffffff" w:fill="537ec9" w:themeFill="accent1" w:themeFillTint="EA"/>
        <w:tcBorders/>
      </w:tcPr>
    </w:tblStylePr>
    <w:tblStylePr w:type="lastCol">
      <w:rPr>
        <w:sz w:val="22"/>
      </w:rPr>
      <w:pPr>
        <w:pBdr/>
        <w:spacing/>
        <w:ind/>
      </w:pPr>
      <w:tblPr>
        <w:tblBorders/>
      </w:tblPr>
      <w:tcPr>
        <w:shd w:val="clear" w:color="ffffff" w:fill="537ec9" w:themeFill="accent1" w:themeFillTint="EA"/>
        <w:tcBorders/>
      </w:tcPr>
    </w:tblStylePr>
    <w:tblStylePr w:type="lastRow">
      <w:rPr>
        <w:sz w:val="22"/>
      </w:rPr>
      <w:pPr>
        <w:pBdr/>
        <w:spacing/>
        <w:ind/>
      </w:pPr>
      <w:tblPr>
        <w:tblBorders/>
      </w:tblPr>
      <w:tcPr>
        <w:shd w:val="clear" w:color="ffffff"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ned - Accent 2"/>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be6d7" w:themeFill="accent2" w:themeFillTint="32"/>
        <w:tcBorders/>
      </w:tcPr>
    </w:tblStylePr>
    <w:tblStylePr w:type="band2Vert">
      <w:rPr>
        <w:sz w:val="22"/>
      </w:rPr>
      <w:pPr>
        <w:pBdr/>
        <w:spacing/>
        <w:ind/>
      </w:pPr>
      <w:tblPr>
        <w:tblBorders/>
      </w:tblPr>
      <w:tcPr>
        <w:shd w:val="clear" w:color="ffffff" w:fill="fbe6d7" w:themeFill="accent2" w:themeFillTint="32"/>
        <w:tcBorders/>
      </w:tcPr>
    </w:tblStylePr>
    <w:tblStylePr w:type="firstCol">
      <w:rPr>
        <w:sz w:val="22"/>
      </w:rPr>
      <w:pPr>
        <w:pBdr/>
        <w:spacing/>
        <w:ind/>
      </w:pPr>
      <w:tblPr>
        <w:tblBorders/>
      </w:tblPr>
      <w:tcPr>
        <w:shd w:val="clear" w:color="ffffff" w:fill="f4b285" w:themeFill="accent2" w:themeFillTint="97"/>
        <w:tcBorders/>
      </w:tcPr>
    </w:tblStylePr>
    <w:tblStylePr w:type="firstRow">
      <w:rPr>
        <w:sz w:val="22"/>
      </w:rPr>
      <w:pPr>
        <w:pBdr/>
        <w:spacing/>
        <w:ind/>
      </w:pPr>
      <w:tblPr>
        <w:tblBorders/>
      </w:tblPr>
      <w:tcPr>
        <w:shd w:val="clear" w:color="ffffff" w:fill="f4b285" w:themeFill="accent2" w:themeFillTint="97"/>
        <w:tcBorders/>
      </w:tcPr>
    </w:tblStylePr>
    <w:tblStylePr w:type="lastCol">
      <w:rPr>
        <w:sz w:val="22"/>
      </w:rPr>
      <w:pPr>
        <w:pBdr/>
        <w:spacing/>
        <w:ind/>
      </w:pPr>
      <w:tblPr>
        <w:tblBorders/>
      </w:tblPr>
      <w:tcPr>
        <w:shd w:val="clear" w:color="ffffff" w:fill="f4b285" w:themeFill="accent2" w:themeFillTint="97"/>
        <w:tcBorders/>
      </w:tcPr>
    </w:tblStylePr>
    <w:tblStylePr w:type="lastRow">
      <w:rPr>
        <w:sz w:val="22"/>
      </w:rPr>
      <w:pPr>
        <w:pBdr/>
        <w:spacing/>
        <w:ind/>
      </w:pPr>
      <w:tblPr>
        <w:tblBorders/>
      </w:tblPr>
      <w:tcPr>
        <w:shd w:val="clear" w:color="ffffff"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ned - Accent 3"/>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deded" w:themeFill="accent3" w:themeFillTint="34"/>
        <w:tcBorders/>
      </w:tcPr>
    </w:tblStylePr>
    <w:tblStylePr w:type="band2Vert">
      <w:rPr>
        <w:sz w:val="22"/>
      </w:rPr>
      <w:pPr>
        <w:pBdr/>
        <w:spacing/>
        <w:ind/>
      </w:pPr>
      <w:tblPr>
        <w:tblBorders/>
      </w:tblPr>
      <w:tcPr>
        <w:shd w:val="clear" w:color="ffffff" w:fill="ededed" w:themeFill="accent3" w:themeFillTint="34"/>
        <w:tcBorders/>
      </w:tcPr>
    </w:tblStylePr>
    <w:tblStylePr w:type="firstCol">
      <w:rPr>
        <w:sz w:val="22"/>
      </w:rPr>
      <w:pPr>
        <w:pBdr/>
        <w:spacing/>
        <w:ind/>
      </w:pPr>
      <w:tblPr>
        <w:tblBorders/>
      </w:tblPr>
      <w:tcPr>
        <w:shd w:val="clear" w:color="ffffff" w:fill="a5a5a5" w:themeFill="accent3" w:themeFillTint="FE"/>
        <w:tcBorders/>
      </w:tcPr>
    </w:tblStylePr>
    <w:tblStylePr w:type="firstRow">
      <w:rPr>
        <w:sz w:val="22"/>
      </w:rPr>
      <w:pPr>
        <w:pBdr/>
        <w:spacing/>
        <w:ind/>
      </w:pPr>
      <w:tblPr>
        <w:tblBorders/>
      </w:tblPr>
      <w:tcPr>
        <w:shd w:val="clear" w:color="ffffff" w:fill="a5a5a5" w:themeFill="accent3" w:themeFillTint="FE"/>
        <w:tcBorders/>
      </w:tcPr>
    </w:tblStylePr>
    <w:tblStylePr w:type="lastCol">
      <w:rPr>
        <w:sz w:val="22"/>
      </w:rPr>
      <w:pPr>
        <w:pBdr/>
        <w:spacing/>
        <w:ind/>
      </w:pPr>
      <w:tblPr>
        <w:tblBorders/>
      </w:tblPr>
      <w:tcPr>
        <w:shd w:val="clear" w:color="ffffff" w:fill="a5a5a5" w:themeFill="accent3" w:themeFillTint="FE"/>
        <w:tcBorders/>
      </w:tcPr>
    </w:tblStylePr>
    <w:tblStylePr w:type="lastRow">
      <w:rPr>
        <w:sz w:val="22"/>
      </w:rPr>
      <w:pPr>
        <w:pBdr/>
        <w:spacing/>
        <w:ind/>
      </w:pPr>
      <w:tblPr>
        <w:tblBorders/>
      </w:tblPr>
      <w:tcPr>
        <w:shd w:val="clear" w:color="ffffff"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ned - Accent 4"/>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ff2cb" w:themeFill="accent4" w:themeFillTint="34"/>
        <w:tcBorders/>
      </w:tcPr>
    </w:tblStylePr>
    <w:tblStylePr w:type="band2Vert">
      <w:rPr>
        <w:sz w:val="22"/>
      </w:rPr>
      <w:pPr>
        <w:pBdr/>
        <w:spacing/>
        <w:ind/>
      </w:pPr>
      <w:tblPr>
        <w:tblBorders/>
      </w:tblPr>
      <w:tcPr>
        <w:shd w:val="clear" w:color="ffffff" w:fill="fff2cb" w:themeFill="accent4" w:themeFillTint="34"/>
        <w:tcBorders/>
      </w:tcPr>
    </w:tblStylePr>
    <w:tblStylePr w:type="firstCol">
      <w:rPr>
        <w:sz w:val="22"/>
      </w:rPr>
      <w:pPr>
        <w:pBdr/>
        <w:spacing/>
        <w:ind/>
      </w:pPr>
      <w:tblPr>
        <w:tblBorders/>
      </w:tblPr>
      <w:tcPr>
        <w:shd w:val="clear" w:color="ffffff" w:fill="ffd965" w:themeFill="accent4" w:themeFillTint="9A"/>
        <w:tcBorders/>
      </w:tcPr>
    </w:tblStylePr>
    <w:tblStylePr w:type="firstRow">
      <w:rPr>
        <w:sz w:val="22"/>
      </w:rPr>
      <w:pPr>
        <w:pBdr/>
        <w:spacing/>
        <w:ind/>
      </w:pPr>
      <w:tblPr>
        <w:tblBorders/>
      </w:tblPr>
      <w:tcPr>
        <w:shd w:val="clear" w:color="ffffff" w:fill="ffd965" w:themeFill="accent4" w:themeFillTint="9A"/>
        <w:tcBorders/>
      </w:tcPr>
    </w:tblStylePr>
    <w:tblStylePr w:type="lastCol">
      <w:rPr>
        <w:sz w:val="22"/>
      </w:rPr>
      <w:pPr>
        <w:pBdr/>
        <w:spacing/>
        <w:ind/>
      </w:pPr>
      <w:tblPr>
        <w:tblBorders/>
      </w:tblPr>
      <w:tcPr>
        <w:shd w:val="clear" w:color="ffffff" w:fill="ffd965" w:themeFill="accent4" w:themeFillTint="9A"/>
        <w:tcBorders/>
      </w:tcPr>
    </w:tblStylePr>
    <w:tblStylePr w:type="lastRow">
      <w:rPr>
        <w:sz w:val="22"/>
      </w:rPr>
      <w:pPr>
        <w:pBdr/>
        <w:spacing/>
        <w:ind/>
      </w:pPr>
      <w:tblPr>
        <w:tblBorders/>
      </w:tblPr>
      <w:tcPr>
        <w:shd w:val="clear" w:color="ffffff"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ned - Accent 5"/>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deebf6" w:themeFill="accent5" w:themeFillTint="34"/>
        <w:tcBorders/>
      </w:tcPr>
    </w:tblStylePr>
    <w:tblStylePr w:type="band2Vert">
      <w:rPr>
        <w:sz w:val="22"/>
      </w:rPr>
      <w:pPr>
        <w:pBdr/>
        <w:spacing/>
        <w:ind/>
      </w:pPr>
      <w:tblPr>
        <w:tblBorders/>
      </w:tblPr>
      <w:tcPr>
        <w:shd w:val="clear" w:color="ffffff" w:fill="deebf6" w:themeFill="accent5" w:themeFillTint="34"/>
        <w:tcBorders/>
      </w:tcPr>
    </w:tblStylePr>
    <w:tblStylePr w:type="firstCol">
      <w:rPr>
        <w:sz w:val="22"/>
      </w:rPr>
      <w:pPr>
        <w:pBdr/>
        <w:spacing/>
        <w:ind/>
      </w:pPr>
      <w:tblPr>
        <w:tblBorders/>
      </w:tblPr>
      <w:tcPr>
        <w:shd w:val="clear" w:color="ffffff" w:fill="5b9bd5" w:themeFill="accent5"/>
        <w:tcBorders/>
      </w:tcPr>
    </w:tblStylePr>
    <w:tblStylePr w:type="firstRow">
      <w:rPr>
        <w:sz w:val="22"/>
      </w:rPr>
      <w:pPr>
        <w:pBdr/>
        <w:spacing/>
        <w:ind/>
      </w:pPr>
      <w:tblPr>
        <w:tblBorders/>
      </w:tblPr>
      <w:tcPr>
        <w:shd w:val="clear" w:color="ffffff" w:fill="5b9bd5" w:themeFill="accent5"/>
        <w:tcBorders/>
      </w:tcPr>
    </w:tblStylePr>
    <w:tblStylePr w:type="lastCol">
      <w:rPr>
        <w:sz w:val="22"/>
      </w:rPr>
      <w:pPr>
        <w:pBdr/>
        <w:spacing/>
        <w:ind/>
      </w:pPr>
      <w:tblPr>
        <w:tblBorders/>
      </w:tblPr>
      <w:tcPr>
        <w:shd w:val="clear" w:color="ffffff" w:fill="5b9bd5" w:themeFill="accent5"/>
        <w:tcBorders/>
      </w:tcPr>
    </w:tblStylePr>
    <w:tblStylePr w:type="lastRow">
      <w:rPr>
        <w:sz w:val="22"/>
      </w:rPr>
      <w:pPr>
        <w:pBdr/>
        <w:spacing/>
        <w:ind/>
      </w:pPr>
      <w:tblPr>
        <w:tblBorders/>
      </w:tblPr>
      <w:tcPr>
        <w:shd w:val="clear" w:color="ffffff"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ned - Accent 6"/>
    <w:basedOn w:val="1064"/>
    <w:uiPriority w:val="99"/>
    <w:pPr>
      <w:pBdr/>
      <w:spacing w:after="0" w:line="240" w:lineRule="auto"/>
      <w:ind/>
    </w:pPr>
    <w:tblPr>
      <w:tblStyleRowBandSize w:val="1"/>
      <w:tblStyleColBandSize w:val="1"/>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2efd9" w:themeFill="accent6" w:themeFillTint="34"/>
        <w:tcBorders/>
      </w:tcPr>
    </w:tblStylePr>
    <w:tblStylePr w:type="band2Vert">
      <w:rPr>
        <w:sz w:val="22"/>
      </w:rPr>
      <w:pPr>
        <w:pBdr/>
        <w:spacing/>
        <w:ind/>
      </w:pPr>
      <w:tblPr>
        <w:tblBorders/>
      </w:tblPr>
      <w:tcPr>
        <w:shd w:val="clear" w:color="ffffff" w:fill="e2efd9" w:themeFill="accent6" w:themeFillTint="34"/>
        <w:tcBorders/>
      </w:tcPr>
    </w:tblStylePr>
    <w:tblStylePr w:type="firstCol">
      <w:rPr>
        <w:sz w:val="22"/>
      </w:rPr>
      <w:pPr>
        <w:pBdr/>
        <w:spacing/>
        <w:ind/>
      </w:pPr>
      <w:tblPr>
        <w:tblBorders/>
      </w:tblPr>
      <w:tcPr>
        <w:shd w:val="clear" w:color="ffffff" w:fill="70ad47" w:themeFill="accent6"/>
        <w:tcBorders/>
      </w:tcPr>
    </w:tblStylePr>
    <w:tblStylePr w:type="firstRow">
      <w:rPr>
        <w:sz w:val="22"/>
      </w:rPr>
      <w:pPr>
        <w:pBdr/>
        <w:spacing/>
        <w:ind/>
      </w:pPr>
      <w:tblPr>
        <w:tblBorders/>
      </w:tblPr>
      <w:tcPr>
        <w:shd w:val="clear" w:color="ffffff" w:fill="70ad47" w:themeFill="accent6"/>
        <w:tcBorders/>
      </w:tcPr>
    </w:tblStylePr>
    <w:tblStylePr w:type="lastCol">
      <w:rPr>
        <w:sz w:val="22"/>
      </w:rPr>
      <w:pPr>
        <w:pBdr/>
        <w:spacing/>
        <w:ind/>
      </w:pPr>
      <w:tblPr>
        <w:tblBorders/>
      </w:tblPr>
      <w:tcPr>
        <w:shd w:val="clear" w:color="ffffff" w:fill="70ad47" w:themeFill="accent6"/>
        <w:tcBorders/>
      </w:tcPr>
    </w:tblStylePr>
    <w:tblStylePr w:type="lastRow">
      <w:rPr>
        <w:sz w:val="22"/>
      </w:rPr>
      <w:pPr>
        <w:pBdr/>
        <w:spacing/>
        <w:ind/>
      </w:pPr>
      <w:tblPr>
        <w:tblBorders/>
      </w:tblPr>
      <w:tcPr>
        <w:shd w:val="clear" w:color="ffffff"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Bordered &amp; Lined - Accent"/>
    <w:basedOn w:val="1064"/>
    <w:uiPriority w:val="99"/>
    <w:pPr>
      <w:pBdr/>
      <w:spacing w:after="0" w:line="240" w:lineRule="auto"/>
      <w:ind/>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2f2f2" w:themeFill="text1" w:themeFillTint="00"/>
        <w:tcBorders/>
      </w:tcPr>
    </w:tblStylePr>
    <w:tblStylePr w:type="band2Vert">
      <w:rPr>
        <w:sz w:val="22"/>
      </w:rPr>
      <w:pPr>
        <w:pBdr/>
        <w:spacing/>
        <w:ind/>
      </w:pPr>
      <w:tblPr>
        <w:tblBorders/>
      </w:tblPr>
      <w:tcPr>
        <w:shd w:val="clear" w:color="ffffff" w:fill="f2f2f2" w:themeFill="text1" w:themeFillTint="00"/>
        <w:tcBorders/>
      </w:tcPr>
    </w:tblStylePr>
    <w:tblStylePr w:type="firstCol">
      <w:rPr>
        <w:sz w:val="22"/>
      </w:rPr>
      <w:pPr>
        <w:pBdr/>
        <w:spacing/>
        <w:ind/>
      </w:pPr>
      <w:tblPr>
        <w:tblBorders/>
      </w:tblPr>
      <w:tcPr>
        <w:shd w:val="clear" w:color="ffffff" w:fill="7f7f7f" w:themeFill="text1" w:themeFillTint="80"/>
        <w:tcBorders/>
      </w:tcPr>
    </w:tblStylePr>
    <w:tblStylePr w:type="firstRow">
      <w:rPr>
        <w:sz w:val="22"/>
      </w:rPr>
      <w:pPr>
        <w:pBdr/>
        <w:spacing/>
        <w:ind/>
      </w:pPr>
      <w:tblPr>
        <w:tblBorders/>
      </w:tblPr>
      <w:tcPr>
        <w:shd w:val="clear" w:color="ffffff" w:fill="7f7f7f" w:themeFill="text1" w:themeFillTint="80"/>
        <w:tcBorders/>
      </w:tcPr>
    </w:tblStylePr>
    <w:tblStylePr w:type="lastCol">
      <w:rPr>
        <w:sz w:val="22"/>
      </w:rPr>
      <w:pPr>
        <w:pBdr/>
        <w:spacing/>
        <w:ind/>
      </w:pPr>
      <w:tblPr>
        <w:tblBorders/>
      </w:tblPr>
      <w:tcPr>
        <w:shd w:val="clear" w:color="ffffff" w:fill="7f7f7f" w:themeFill="text1" w:themeFillTint="80"/>
        <w:tcBorders/>
      </w:tcPr>
    </w:tblStylePr>
    <w:tblStylePr w:type="lastRow">
      <w:rPr>
        <w:sz w:val="22"/>
      </w:rPr>
      <w:pPr>
        <w:pBdr/>
        <w:spacing/>
        <w:ind/>
      </w:pPr>
      <w:tblPr>
        <w:tblBorders/>
      </w:tblPr>
      <w:tcPr>
        <w:shd w:val="clear" w:color="fffff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Bordered &amp; Lined - Accent 1"/>
    <w:basedOn w:val="1064"/>
    <w:uiPriority w:val="99"/>
    <w:pPr>
      <w:pBdr/>
      <w:spacing w:after="0" w:line="240" w:lineRule="auto"/>
      <w:ind/>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c4d3ec" w:themeFill="accent1" w:themeFillTint="50"/>
        <w:tcBorders/>
      </w:tcPr>
    </w:tblStylePr>
    <w:tblStylePr w:type="band2Vert">
      <w:rPr>
        <w:sz w:val="22"/>
      </w:rPr>
      <w:pPr>
        <w:pBdr/>
        <w:spacing/>
        <w:ind/>
      </w:pPr>
      <w:tblPr>
        <w:tblBorders/>
      </w:tblPr>
      <w:tcPr>
        <w:shd w:val="clear" w:color="ffffff" w:fill="c4d3ec" w:themeFill="accent1" w:themeFillTint="50"/>
        <w:tcBorders/>
      </w:tcPr>
    </w:tblStylePr>
    <w:tblStylePr w:type="firstCol">
      <w:rPr>
        <w:sz w:val="22"/>
      </w:rPr>
      <w:pPr>
        <w:pBdr/>
        <w:spacing/>
        <w:ind/>
      </w:pPr>
      <w:tblPr>
        <w:tblBorders/>
      </w:tblPr>
      <w:tcPr>
        <w:shd w:val="clear" w:color="ffffff" w:fill="537ec9" w:themeFill="accent1" w:themeFillTint="EA"/>
        <w:tcBorders/>
      </w:tcPr>
    </w:tblStylePr>
    <w:tblStylePr w:type="firstRow">
      <w:rPr>
        <w:sz w:val="22"/>
      </w:rPr>
      <w:pPr>
        <w:pBdr/>
        <w:spacing/>
        <w:ind/>
      </w:pPr>
      <w:tblPr>
        <w:tblBorders/>
      </w:tblPr>
      <w:tcPr>
        <w:shd w:val="clear" w:color="ffffff" w:fill="537ec9" w:themeFill="accent1" w:themeFillTint="EA"/>
        <w:tcBorders/>
      </w:tcPr>
    </w:tblStylePr>
    <w:tblStylePr w:type="lastCol">
      <w:rPr>
        <w:sz w:val="22"/>
      </w:rPr>
      <w:pPr>
        <w:pBdr/>
        <w:spacing/>
        <w:ind/>
      </w:pPr>
      <w:tblPr>
        <w:tblBorders/>
      </w:tblPr>
      <w:tcPr>
        <w:shd w:val="clear" w:color="ffffff" w:fill="537ec9" w:themeFill="accent1" w:themeFillTint="EA"/>
        <w:tcBorders/>
      </w:tcPr>
    </w:tblStylePr>
    <w:tblStylePr w:type="lastRow">
      <w:rPr>
        <w:sz w:val="22"/>
      </w:rPr>
      <w:pPr>
        <w:pBdr/>
        <w:spacing/>
        <w:ind/>
      </w:pPr>
      <w:tblPr>
        <w:tblBorders/>
      </w:tblPr>
      <w:tcPr>
        <w:shd w:val="clear" w:color="ffffff"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Bordered &amp; Lined - Accent 2"/>
    <w:basedOn w:val="1064"/>
    <w:uiPriority w:val="99"/>
    <w:pPr>
      <w:pBdr/>
      <w:spacing w:after="0" w:line="240" w:lineRule="auto"/>
      <w:ind/>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be6d7" w:themeFill="accent2" w:themeFillTint="32"/>
        <w:tcBorders/>
      </w:tcPr>
    </w:tblStylePr>
    <w:tblStylePr w:type="band2Vert">
      <w:rPr>
        <w:sz w:val="22"/>
      </w:rPr>
      <w:pPr>
        <w:pBdr/>
        <w:spacing/>
        <w:ind/>
      </w:pPr>
      <w:tblPr>
        <w:tblBorders/>
      </w:tblPr>
      <w:tcPr>
        <w:shd w:val="clear" w:color="ffffff" w:fill="fbe6d7" w:themeFill="accent2" w:themeFillTint="32"/>
        <w:tcBorders/>
      </w:tcPr>
    </w:tblStylePr>
    <w:tblStylePr w:type="firstCol">
      <w:rPr>
        <w:sz w:val="22"/>
      </w:rPr>
      <w:pPr>
        <w:pBdr/>
        <w:spacing/>
        <w:ind/>
      </w:pPr>
      <w:tblPr>
        <w:tblBorders/>
      </w:tblPr>
      <w:tcPr>
        <w:shd w:val="clear" w:color="ffffff" w:fill="f4b285" w:themeFill="accent2" w:themeFillTint="97"/>
        <w:tcBorders/>
      </w:tcPr>
    </w:tblStylePr>
    <w:tblStylePr w:type="firstRow">
      <w:rPr>
        <w:sz w:val="22"/>
      </w:rPr>
      <w:pPr>
        <w:pBdr/>
        <w:spacing/>
        <w:ind/>
      </w:pPr>
      <w:tblPr>
        <w:tblBorders/>
      </w:tblPr>
      <w:tcPr>
        <w:shd w:val="clear" w:color="ffffff" w:fill="f4b285" w:themeFill="accent2" w:themeFillTint="97"/>
        <w:tcBorders/>
      </w:tcPr>
    </w:tblStylePr>
    <w:tblStylePr w:type="lastCol">
      <w:rPr>
        <w:sz w:val="22"/>
      </w:rPr>
      <w:pPr>
        <w:pBdr/>
        <w:spacing/>
        <w:ind/>
      </w:pPr>
      <w:tblPr>
        <w:tblBorders/>
      </w:tblPr>
      <w:tcPr>
        <w:shd w:val="clear" w:color="ffffff" w:fill="f4b285" w:themeFill="accent2" w:themeFillTint="97"/>
        <w:tcBorders/>
      </w:tcPr>
    </w:tblStylePr>
    <w:tblStylePr w:type="lastRow">
      <w:rPr>
        <w:sz w:val="22"/>
      </w:rPr>
      <w:pPr>
        <w:pBdr/>
        <w:spacing/>
        <w:ind/>
      </w:pPr>
      <w:tblPr>
        <w:tblBorders/>
      </w:tblPr>
      <w:tcPr>
        <w:shd w:val="clear" w:color="ffffff"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Bordered &amp; Lined - Accent 3"/>
    <w:basedOn w:val="1064"/>
    <w:uiPriority w:val="99"/>
    <w:pPr>
      <w:pBdr/>
      <w:spacing w:after="0" w:line="240" w:lineRule="auto"/>
      <w:ind/>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deded" w:themeFill="accent3" w:themeFillTint="34"/>
        <w:tcBorders/>
      </w:tcPr>
    </w:tblStylePr>
    <w:tblStylePr w:type="band2Vert">
      <w:rPr>
        <w:sz w:val="22"/>
      </w:rPr>
      <w:pPr>
        <w:pBdr/>
        <w:spacing/>
        <w:ind/>
      </w:pPr>
      <w:tblPr>
        <w:tblBorders/>
      </w:tblPr>
      <w:tcPr>
        <w:shd w:val="clear" w:color="ffffff" w:fill="ededed" w:themeFill="accent3" w:themeFillTint="34"/>
        <w:tcBorders/>
      </w:tcPr>
    </w:tblStylePr>
    <w:tblStylePr w:type="firstCol">
      <w:rPr>
        <w:sz w:val="22"/>
      </w:rPr>
      <w:pPr>
        <w:pBdr/>
        <w:spacing/>
        <w:ind/>
      </w:pPr>
      <w:tblPr>
        <w:tblBorders/>
      </w:tblPr>
      <w:tcPr>
        <w:shd w:val="clear" w:color="ffffff" w:fill="a5a5a5" w:themeFill="accent3" w:themeFillTint="FE"/>
        <w:tcBorders/>
      </w:tcPr>
    </w:tblStylePr>
    <w:tblStylePr w:type="firstRow">
      <w:rPr>
        <w:sz w:val="22"/>
      </w:rPr>
      <w:pPr>
        <w:pBdr/>
        <w:spacing/>
        <w:ind/>
      </w:pPr>
      <w:tblPr>
        <w:tblBorders/>
      </w:tblPr>
      <w:tcPr>
        <w:shd w:val="clear" w:color="ffffff" w:fill="a5a5a5" w:themeFill="accent3" w:themeFillTint="FE"/>
        <w:tcBorders/>
      </w:tcPr>
    </w:tblStylePr>
    <w:tblStylePr w:type="lastCol">
      <w:rPr>
        <w:sz w:val="22"/>
      </w:rPr>
      <w:pPr>
        <w:pBdr/>
        <w:spacing/>
        <w:ind/>
      </w:pPr>
      <w:tblPr>
        <w:tblBorders/>
      </w:tblPr>
      <w:tcPr>
        <w:shd w:val="clear" w:color="ffffff" w:fill="a5a5a5" w:themeFill="accent3" w:themeFillTint="FE"/>
        <w:tcBorders/>
      </w:tcPr>
    </w:tblStylePr>
    <w:tblStylePr w:type="lastRow">
      <w:rPr>
        <w:sz w:val="22"/>
      </w:rPr>
      <w:pPr>
        <w:pBdr/>
        <w:spacing/>
        <w:ind/>
      </w:pPr>
      <w:tblPr>
        <w:tblBorders/>
      </w:tblPr>
      <w:tcPr>
        <w:shd w:val="clear" w:color="ffffff"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Bordered &amp; Lined - Accent 4"/>
    <w:basedOn w:val="1064"/>
    <w:uiPriority w:val="99"/>
    <w:pPr>
      <w:pBdr/>
      <w:spacing w:after="0" w:line="240" w:lineRule="auto"/>
      <w:ind/>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fff2cb" w:themeFill="accent4" w:themeFillTint="34"/>
        <w:tcBorders/>
      </w:tcPr>
    </w:tblStylePr>
    <w:tblStylePr w:type="band2Vert">
      <w:rPr>
        <w:sz w:val="22"/>
      </w:rPr>
      <w:pPr>
        <w:pBdr/>
        <w:spacing/>
        <w:ind/>
      </w:pPr>
      <w:tblPr>
        <w:tblBorders/>
      </w:tblPr>
      <w:tcPr>
        <w:shd w:val="clear" w:color="ffffff" w:fill="fff2cb" w:themeFill="accent4" w:themeFillTint="34"/>
        <w:tcBorders/>
      </w:tcPr>
    </w:tblStylePr>
    <w:tblStylePr w:type="firstCol">
      <w:rPr>
        <w:sz w:val="22"/>
      </w:rPr>
      <w:pPr>
        <w:pBdr/>
        <w:spacing/>
        <w:ind/>
      </w:pPr>
      <w:tblPr>
        <w:tblBorders/>
      </w:tblPr>
      <w:tcPr>
        <w:shd w:val="clear" w:color="ffffff" w:fill="ffd965" w:themeFill="accent4" w:themeFillTint="9A"/>
        <w:tcBorders/>
      </w:tcPr>
    </w:tblStylePr>
    <w:tblStylePr w:type="firstRow">
      <w:rPr>
        <w:sz w:val="22"/>
      </w:rPr>
      <w:pPr>
        <w:pBdr/>
        <w:spacing/>
        <w:ind/>
      </w:pPr>
      <w:tblPr>
        <w:tblBorders/>
      </w:tblPr>
      <w:tcPr>
        <w:shd w:val="clear" w:color="ffffff" w:fill="ffd965" w:themeFill="accent4" w:themeFillTint="9A"/>
        <w:tcBorders/>
      </w:tcPr>
    </w:tblStylePr>
    <w:tblStylePr w:type="lastCol">
      <w:rPr>
        <w:sz w:val="22"/>
      </w:rPr>
      <w:pPr>
        <w:pBdr/>
        <w:spacing/>
        <w:ind/>
      </w:pPr>
      <w:tblPr>
        <w:tblBorders/>
      </w:tblPr>
      <w:tcPr>
        <w:shd w:val="clear" w:color="ffffff" w:fill="ffd965" w:themeFill="accent4" w:themeFillTint="9A"/>
        <w:tcBorders/>
      </w:tcPr>
    </w:tblStylePr>
    <w:tblStylePr w:type="lastRow">
      <w:rPr>
        <w:sz w:val="22"/>
      </w:rPr>
      <w:pPr>
        <w:pBdr/>
        <w:spacing/>
        <w:ind/>
      </w:pPr>
      <w:tblPr>
        <w:tblBorders/>
      </w:tblPr>
      <w:tcPr>
        <w:shd w:val="clear" w:color="ffffff"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Bordered &amp; Lined - Accent 5"/>
    <w:basedOn w:val="1064"/>
    <w:uiPriority w:val="99"/>
    <w:pPr>
      <w:pBdr/>
      <w:spacing w:after="0" w:line="240" w:lineRule="auto"/>
      <w:ind/>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deebf6" w:themeFill="accent5" w:themeFillTint="34"/>
        <w:tcBorders/>
      </w:tcPr>
    </w:tblStylePr>
    <w:tblStylePr w:type="band2Vert">
      <w:rPr>
        <w:sz w:val="22"/>
      </w:rPr>
      <w:pPr>
        <w:pBdr/>
        <w:spacing/>
        <w:ind/>
      </w:pPr>
      <w:tblPr>
        <w:tblBorders/>
      </w:tblPr>
      <w:tcPr>
        <w:shd w:val="clear" w:color="ffffff" w:fill="deebf6" w:themeFill="accent5" w:themeFillTint="34"/>
        <w:tcBorders/>
      </w:tcPr>
    </w:tblStylePr>
    <w:tblStylePr w:type="firstCol">
      <w:rPr>
        <w:sz w:val="22"/>
      </w:rPr>
      <w:pPr>
        <w:pBdr/>
        <w:spacing/>
        <w:ind/>
      </w:pPr>
      <w:tblPr>
        <w:tblBorders/>
      </w:tblPr>
      <w:tcPr>
        <w:shd w:val="clear" w:color="ffffff" w:fill="5b9bd5" w:themeFill="accent5"/>
        <w:tcBorders/>
      </w:tcPr>
    </w:tblStylePr>
    <w:tblStylePr w:type="firstRow">
      <w:rPr>
        <w:sz w:val="22"/>
      </w:rPr>
      <w:pPr>
        <w:pBdr/>
        <w:spacing/>
        <w:ind/>
      </w:pPr>
      <w:tblPr>
        <w:tblBorders/>
      </w:tblPr>
      <w:tcPr>
        <w:shd w:val="clear" w:color="ffffff" w:fill="5b9bd5" w:themeFill="accent5"/>
        <w:tcBorders/>
      </w:tcPr>
    </w:tblStylePr>
    <w:tblStylePr w:type="lastCol">
      <w:rPr>
        <w:sz w:val="22"/>
      </w:rPr>
      <w:pPr>
        <w:pBdr/>
        <w:spacing/>
        <w:ind/>
      </w:pPr>
      <w:tblPr>
        <w:tblBorders/>
      </w:tblPr>
      <w:tcPr>
        <w:shd w:val="clear" w:color="ffffff" w:fill="5b9bd5" w:themeFill="accent5"/>
        <w:tcBorders/>
      </w:tcPr>
    </w:tblStylePr>
    <w:tblStylePr w:type="lastRow">
      <w:rPr>
        <w:sz w:val="22"/>
      </w:rPr>
      <w:pPr>
        <w:pBdr/>
        <w:spacing/>
        <w:ind/>
      </w:pPr>
      <w:tblPr>
        <w:tblBorders/>
      </w:tblPr>
      <w:tcPr>
        <w:shd w:val="clear" w:color="ffffff"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Bordered &amp; Lined - Accent 6"/>
    <w:basedOn w:val="1064"/>
    <w:uiPriority w:val="99"/>
    <w:pPr>
      <w:pBdr/>
      <w:spacing w:after="0" w:line="240" w:lineRule="auto"/>
      <w:ind/>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fffff" w:fill="e2efd9" w:themeFill="accent6" w:themeFillTint="34"/>
        <w:tcBorders/>
      </w:tcPr>
    </w:tblStylePr>
    <w:tblStylePr w:type="band2Vert">
      <w:rPr>
        <w:sz w:val="22"/>
      </w:rPr>
      <w:pPr>
        <w:pBdr/>
        <w:spacing/>
        <w:ind/>
      </w:pPr>
      <w:tblPr>
        <w:tblBorders/>
      </w:tblPr>
      <w:tcPr>
        <w:shd w:val="clear" w:color="ffffff" w:fill="e2efd9" w:themeFill="accent6" w:themeFillTint="34"/>
        <w:tcBorders/>
      </w:tcPr>
    </w:tblStylePr>
    <w:tblStylePr w:type="firstCol">
      <w:rPr>
        <w:sz w:val="22"/>
      </w:rPr>
      <w:pPr>
        <w:pBdr/>
        <w:spacing/>
        <w:ind/>
      </w:pPr>
      <w:tblPr>
        <w:tblBorders/>
      </w:tblPr>
      <w:tcPr>
        <w:shd w:val="clear" w:color="ffffff" w:fill="70ad47" w:themeFill="accent6"/>
        <w:tcBorders/>
      </w:tcPr>
    </w:tblStylePr>
    <w:tblStylePr w:type="firstRow">
      <w:rPr>
        <w:sz w:val="22"/>
      </w:rPr>
      <w:pPr>
        <w:pBdr/>
        <w:spacing/>
        <w:ind/>
      </w:pPr>
      <w:tblPr>
        <w:tblBorders/>
      </w:tblPr>
      <w:tcPr>
        <w:shd w:val="clear" w:color="ffffff" w:fill="70ad47" w:themeFill="accent6"/>
        <w:tcBorders/>
      </w:tcPr>
    </w:tblStylePr>
    <w:tblStylePr w:type="lastCol">
      <w:rPr>
        <w:sz w:val="22"/>
      </w:rPr>
      <w:pPr>
        <w:pBdr/>
        <w:spacing/>
        <w:ind/>
      </w:pPr>
      <w:tblPr>
        <w:tblBorders/>
      </w:tblPr>
      <w:tcPr>
        <w:shd w:val="clear" w:color="ffffff" w:fill="70ad47" w:themeFill="accent6"/>
        <w:tcBorders/>
      </w:tcPr>
    </w:tblStylePr>
    <w:tblStylePr w:type="lastRow">
      <w:rPr>
        <w:sz w:val="22"/>
      </w:rPr>
      <w:pPr>
        <w:pBdr/>
        <w:spacing/>
        <w:ind/>
      </w:pPr>
      <w:tblPr>
        <w:tblBorders/>
      </w:tblPr>
      <w:tcPr>
        <w:shd w:val="clear" w:color="ffffff"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Bordered"/>
    <w:basedOn w:val="1064"/>
    <w:uiPriority w:val="99"/>
    <w:pPr>
      <w:pBdr/>
      <w:spacing w:after="0" w:line="240" w:lineRule="auto"/>
      <w:ind/>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text1" w:sz="12" w:space="0"/>
        </w:tcBorders>
      </w:tcPr>
    </w:tblStylePr>
    <w:tblStylePr w:type="lastCol">
      <w:rPr>
        <w:sz w:val="22"/>
      </w:rPr>
      <w:pPr>
        <w:pBdr/>
        <w:spacing/>
        <w:ind/>
      </w:pPr>
      <w:tblPr>
        <w:tblBorders/>
      </w:tblPr>
      <w:tcPr>
        <w:tcBorders>
          <w:left w:val="single" w:color="000000" w:themeColor="text1" w:sz="12" w:space="0"/>
        </w:tcBorders>
      </w:tcPr>
    </w:tblStylePr>
    <w:tblStylePr w:type="lastRow">
      <w:rPr>
        <w:sz w:val="22"/>
      </w:rPr>
      <w:pPr>
        <w:pBdr/>
        <w:spacing/>
        <w:ind/>
      </w:pPr>
      <w:tblPr>
        <w:tblBorders/>
      </w:tblPr>
      <w:tcPr>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Bordered - Accent 1"/>
    <w:basedOn w:val="1064"/>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1" w:sz="12" w:space="0"/>
        </w:tcBorders>
      </w:tcPr>
    </w:tblStylePr>
    <w:tblStylePr w:type="lastCol">
      <w:rPr>
        <w:sz w:val="22"/>
      </w:rPr>
      <w:pPr>
        <w:pBdr/>
        <w:spacing/>
        <w:ind/>
      </w:pPr>
      <w:tblPr>
        <w:tblBorders/>
      </w:tblPr>
      <w:tcPr>
        <w:tcBorders>
          <w:left w:val="single" w:color="000000" w:themeColor="accent1" w:sz="12" w:space="0"/>
        </w:tcBorders>
      </w:tcPr>
    </w:tblStylePr>
    <w:tblStylePr w:type="lastRow">
      <w:rPr>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Bordered - Accent 2"/>
    <w:basedOn w:val="1064"/>
    <w:uiPriority w:val="99"/>
    <w:pPr>
      <w:pBdr/>
      <w:spacing w:after="0" w:line="240" w:lineRule="auto"/>
      <w:ind/>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sz w:val="22"/>
      </w:rPr>
      <w:pPr>
        <w:pBdr/>
        <w:spacing/>
        <w:ind/>
      </w:pPr>
      <w:tblPr>
        <w:tblBorders/>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2" w:sz="12" w:space="0"/>
        </w:tcBorders>
      </w:tcPr>
    </w:tblStylePr>
    <w:tblStylePr w:type="lastCol">
      <w:rPr>
        <w:sz w:val="22"/>
      </w:rPr>
      <w:pPr>
        <w:pBdr/>
        <w:spacing/>
        <w:ind/>
      </w:pPr>
      <w:tblPr>
        <w:tblBorders/>
      </w:tblPr>
      <w:tcPr>
        <w:tcBorders>
          <w:left w:val="single" w:color="000000" w:themeColor="accent2" w:sz="12" w:space="0"/>
        </w:tcBorders>
      </w:tcPr>
    </w:tblStylePr>
    <w:tblStylePr w:type="lastRow">
      <w:rPr>
        <w:sz w:val="22"/>
      </w:rPr>
      <w:pPr>
        <w:pBdr/>
        <w:spacing/>
        <w:ind/>
      </w:pPr>
      <w:tblPr>
        <w:tblBorders/>
      </w:tblPr>
      <w:tcPr>
        <w:tcBorders>
          <w:top w:val="single" w:color="000000" w:themeColor="accent2"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Bordered - Accent 3"/>
    <w:basedOn w:val="1064"/>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3" w:sz="12" w:space="0"/>
        </w:tcBorders>
      </w:tcPr>
    </w:tblStylePr>
    <w:tblStylePr w:type="lastCol">
      <w:rPr>
        <w:sz w:val="22"/>
      </w:rPr>
      <w:pPr>
        <w:pBdr/>
        <w:spacing/>
        <w:ind/>
      </w:pPr>
      <w:tblPr>
        <w:tblBorders/>
      </w:tblPr>
      <w:tcPr>
        <w:tcBorders>
          <w:left w:val="single" w:color="000000" w:themeColor="accent3" w:sz="12" w:space="0"/>
        </w:tcBorders>
      </w:tcPr>
    </w:tblStylePr>
    <w:tblStylePr w:type="lastRow">
      <w:rPr>
        <w:sz w:val="22"/>
      </w:rPr>
      <w:pPr>
        <w:pBdr/>
        <w:spacing/>
        <w:ind/>
      </w:pPr>
      <w:tblPr>
        <w:tblBorders/>
      </w:tblPr>
      <w:tcPr>
        <w:tcBorders>
          <w:top w:val="single" w:color="000000" w:themeColor="accent3"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Bordered - Accent 4"/>
    <w:basedOn w:val="1064"/>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4" w:sz="12" w:space="0"/>
        </w:tcBorders>
      </w:tcPr>
    </w:tblStylePr>
    <w:tblStylePr w:type="lastCol">
      <w:rPr>
        <w:sz w:val="22"/>
      </w:rPr>
      <w:pPr>
        <w:pBdr/>
        <w:spacing/>
        <w:ind/>
      </w:pPr>
      <w:tblPr>
        <w:tblBorders/>
      </w:tblPr>
      <w:tcPr>
        <w:tcBorders>
          <w:left w:val="single" w:color="000000" w:themeColor="accent4" w:sz="12" w:space="0"/>
        </w:tcBorders>
      </w:tcPr>
    </w:tblStylePr>
    <w:tblStylePr w:type="lastRow">
      <w:rPr>
        <w:sz w:val="22"/>
      </w:rPr>
      <w:pPr>
        <w:pBdr/>
        <w:spacing/>
        <w:ind/>
      </w:pPr>
      <w:tblPr>
        <w:tblBorders/>
      </w:tblPr>
      <w:tcPr>
        <w:tcBorders>
          <w:top w:val="single" w:color="000000" w:themeColor="accent4"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Bordered - Accent 5"/>
    <w:basedOn w:val="1064"/>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5" w:sz="12" w:space="0"/>
        </w:tcBorders>
      </w:tcPr>
    </w:tblStylePr>
    <w:tblStylePr w:type="lastCol">
      <w:rPr>
        <w:sz w:val="22"/>
      </w:rPr>
      <w:pPr>
        <w:pBdr/>
        <w:spacing/>
        <w:ind/>
      </w:pPr>
      <w:tblPr>
        <w:tblBorders/>
      </w:tblPr>
      <w:tcPr>
        <w:tcBorders>
          <w:left w:val="single" w:color="000000" w:themeColor="accent5" w:sz="12" w:space="0"/>
        </w:tcBorders>
      </w:tcPr>
    </w:tblStylePr>
    <w:tblStylePr w:type="lastRow">
      <w:rPr>
        <w:sz w:val="22"/>
      </w:rPr>
      <w:pPr>
        <w:pBdr/>
        <w:spacing/>
        <w:ind/>
      </w:pPr>
      <w:tblPr>
        <w:tblBorders/>
      </w:tblPr>
      <w:tcPr>
        <w:tcBorders>
          <w:top w:val="single" w:color="000000" w:themeColor="accent5"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Bordered - Accent 6"/>
    <w:basedOn w:val="1064"/>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000000" w:themeColor="accent6" w:sz="12" w:space="0"/>
        </w:tcBorders>
      </w:tcPr>
    </w:tblStylePr>
    <w:tblStylePr w:type="lastCol">
      <w:rPr>
        <w:sz w:val="22"/>
      </w:rPr>
      <w:pPr>
        <w:pBdr/>
        <w:spacing/>
        <w:ind/>
      </w:pPr>
      <w:tblPr>
        <w:tblBorders/>
      </w:tblPr>
      <w:tcPr>
        <w:tcBorders>
          <w:left w:val="single" w:color="000000" w:themeColor="accent6" w:sz="12" w:space="0"/>
        </w:tcBorders>
      </w:tcPr>
    </w:tblStylePr>
    <w:tblStylePr w:type="lastRow">
      <w:rPr>
        <w:sz w:val="22"/>
      </w:rPr>
      <w:pPr>
        <w:pBdr/>
        <w:spacing/>
        <w:ind/>
      </w:pPr>
      <w:tblPr>
        <w:tblBorders/>
      </w:tblPr>
      <w:tcPr>
        <w:tcBorders>
          <w:top w:val="single" w:color="000000" w:themeColor="accent6"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default="1">
    <w:name w:val="Normal Table"/>
    <w:uiPriority w:val="99"/>
    <w:semiHidden/>
    <w:unhideWhenUsed/>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Siatka tabeli — jasna12"/>
    <w:uiPriority w:val="40"/>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2"/>
      <w:highlight w:val="none"/>
      <w:u w:val="none"/>
      <w:vertAlign w:val="baseline"/>
      <w:rtl w:val="0"/>
      <w:cs w:val="0"/>
      <w:lang w:val="pl-PL" w:eastAsia="en-US" w:bidi="ar-SA"/>
      <w14:ligatures w14:val="standardContextual"/>
    </w:rPr>
    <w:tblPr>
      <w:tblStyleRowBandSize w:val="1"/>
      <w:tblStyleColBandSize w:val="1"/>
      <w:tblInd w:w="0" w:type="dxa"/>
      <w:tblW w:w="0" w:type="auto"/>
      <w:tblCellMar>
        <w:left w:w="108" w:type="dxa"/>
        <w:top w:w="0" w:type="dxa"/>
        <w:right w:w="108" w:type="dxa"/>
        <w:bottom w:w="0" w:type="dxa"/>
      </w:tblCellMa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Grid Table Light"/>
    <w:uiPriority w:val="40"/>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hint="default" w:asciiTheme="minorHAnsi" w:hAnsiTheme="minorHAnsi" w:eastAsiaTheme="minorHAnsi" w:cstheme="minorBidi"/>
      <w:b w:val="0"/>
      <w:bCs w:val="0"/>
      <w:i w:val="0"/>
      <w:iCs w:val="0"/>
      <w:caps w:val="0"/>
      <w:smallCaps w:val="0"/>
      <w:strike w:val="0"/>
      <w:vanish w:val="0"/>
      <w:color w:val="auto"/>
      <w:spacing w:val="0"/>
      <w:position w:val="0"/>
      <w:sz w:val="20"/>
      <w:szCs w:val="20"/>
      <w:highlight w:val="none"/>
      <w:u w:val="none"/>
      <w:vertAlign w:val="baseline"/>
      <w:rtl w:val="0"/>
      <w:cs w:val="0"/>
      <w:lang w:val="pl-PL" w:eastAsia="pl-PL" w:bidi="ar-SA"/>
      <w14:ligatures w14:val="standardContextual"/>
    </w:rPr>
    <w:tblPr>
      <w:tblStyleRowBandSize w:val="1"/>
      <w:tblStyleColBandSize w:val="1"/>
      <w:tblInd w:w="0" w:type="dxa"/>
      <w:tblW w:w="0" w:type="auto"/>
      <w:tblCellMar>
        <w:left w:w="108" w:type="dxa"/>
        <w:top w:w="0" w:type="dxa"/>
        <w:right w:w="108" w:type="dxa"/>
        <w:bottom w:w="0" w:type="dxa"/>
      </w:tblCellMa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www.gminabraniewo.pl/" TargetMode="External"/><Relationship Id="rId10" Type="http://schemas.openxmlformats.org/officeDocument/2006/relationships/hyperlink" Target="http://www.bipbraniewo.warmia.mazury.pl/" TargetMode="External"/><Relationship Id="rId11" Type="http://schemas.openxmlformats.org/officeDocument/2006/relationships/hyperlink" Target="http://www.gminabraniewo.pl/" TargetMode="External"/><Relationship Id="rId12" Type="http://schemas.openxmlformats.org/officeDocument/2006/relationships/hyperlink" Target="http://www.gminabraniewo.pl/" TargetMode="External"/><Relationship Id="rId13" Type="http://schemas.openxmlformats.org/officeDocument/2006/relationships/hyperlink" Target="http://www.bipbraniewo.warmia.mazury.pl/" TargetMode="External"/><Relationship Id="rId14" Type="http://schemas.openxmlformats.org/officeDocument/2006/relationships/image" Target="media/image1.png"/><Relationship Id="rId15" Type="http://schemas.openxmlformats.org/officeDocument/2006/relationships/chart" Target="charts/chart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s>
</file>

<file path=word/charts/chart1.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en-US"/>
  <c:roundedCorners val="0"/>
  <mc:AlternateContent>
    <mc:Choice Requires="c14">
      <c14:style val="102"/>
    </mc:Choice>
    <mc:Fallback>
      <c:style val="2"/>
    </mc:Fallback>
  </mc:AlternateContent>
  <c:chart>
    <c:autoTitleDeleted val="1"/>
    <c:plotArea>
      <c:layout/>
      <c:barChart>
        <c:barDir val="col"/>
        <c:grouping val="clustered"/>
        <c:varyColors val="0"/>
        <c:ser>
          <c:idx val="0"/>
          <c:order val="0"/>
          <c:tx>
            <c:strRef>
              <c:f>label 0</c:f>
              <c:strCache>
                <c:ptCount val="1"/>
                <c:pt idx="0">
                  <c:v>Ogółem</c:v>
                </c:pt>
              </c:strCache>
            </c:strRef>
          </c:tx>
          <c:spPr bwMode="auto">
            <a:prstGeom prst="rect">
              <a:avLst/>
            </a:prstGeom>
            <a:solidFill>
              <a:srgbClr val="4472C4"/>
            </a:solidFill>
            <a:ln w="12600">
              <a:noFill/>
            </a:ln>
          </c:spPr>
          <c:invertIfNegative val="0"/>
          <c:dLbls>
            <c:dLblPos val="outEnd"/>
            <c:numFmt formatCode="General" sourceLinked="0"/>
            <c:separator xml:space="preserve">; </c:separator>
            <c:showBubbleSize val="0"/>
            <c:showCatName val="0"/>
            <c:showLeaderLines val="0"/>
            <c:showLegendKey val="0"/>
            <c:showPercent val="0"/>
            <c:showSerName val="0"/>
            <c:showVal val="1"/>
            <c:txPr>
              <a:bodyPr wrap="square"/>
              <a:lstStyle/>
              <a:p>
                <a:pPr>
                  <a:defRPr sz="900" b="0" u="none" strike="noStrike">
                    <a:solidFill>
                      <a:srgbClr val="000000"/>
                    </a:solidFill>
                    <a:latin typeface="Calibri"/>
                    <a:ea typeface="Arial"/>
                  </a:defRPr>
                </a:pPr>
                <a:endParaRPr/>
              </a:p>
            </c:txPr>
          </c:dLbls>
          <c:cat>
            <c:strRef>
              <c:f>categories</c:f>
              <c:strCache>
                <c:ptCount val="3"/>
                <c:pt idx="0">
                  <c:v>2022</c:v>
                </c:pt>
                <c:pt idx="1">
                  <c:v>2023</c:v>
                </c:pt>
                <c:pt idx="2">
                  <c:v>2024</c:v>
                </c:pt>
              </c:strCache>
            </c:strRef>
          </c:cat>
          <c:val>
            <c:numRef>
              <c:f>0</c:f>
              <c:numCache>
                <c:formatCode>General</c:formatCode>
                <c:ptCount val="3"/>
                <c:pt idx="0">
                  <c:v>5456</c:v>
                </c:pt>
                <c:pt idx="1">
                  <c:v>5391</c:v>
                </c:pt>
                <c:pt idx="2">
                  <c:v>5364</c:v>
                </c:pt>
              </c:numCache>
            </c:numRef>
          </c:val>
        </c:ser>
        <c:ser>
          <c:idx val="1"/>
          <c:order val="1"/>
          <c:tx>
            <c:strRef>
              <c:f>label 1</c:f>
              <c:strCache>
                <c:ptCount val="1"/>
                <c:pt idx="0">
                  <c:v>Mężczyźni</c:v>
                </c:pt>
              </c:strCache>
            </c:strRef>
          </c:tx>
          <c:spPr bwMode="auto">
            <a:prstGeom prst="rect">
              <a:avLst/>
            </a:prstGeom>
            <a:solidFill>
              <a:srgbClr val="ED7D31"/>
            </a:solidFill>
            <a:ln w="12600">
              <a:noFill/>
            </a:ln>
          </c:spPr>
          <c:invertIfNegative val="0"/>
          <c:dLbls>
            <c:dLblPos val="outEnd"/>
            <c:numFmt formatCode="General" sourceLinked="0"/>
            <c:separator xml:space="preserve">; </c:separator>
            <c:showBubbleSize val="0"/>
            <c:showCatName val="0"/>
            <c:showLeaderLines val="0"/>
            <c:showLegendKey val="0"/>
            <c:showPercent val="0"/>
            <c:showSerName val="0"/>
            <c:showVal val="1"/>
            <c:txPr>
              <a:bodyPr wrap="square"/>
              <a:lstStyle/>
              <a:p>
                <a:pPr>
                  <a:defRPr sz="900" b="0" u="none" strike="noStrike">
                    <a:solidFill>
                      <a:srgbClr val="000000"/>
                    </a:solidFill>
                    <a:latin typeface="Calibri"/>
                    <a:ea typeface="Arial"/>
                  </a:defRPr>
                </a:pPr>
                <a:endParaRPr/>
              </a:p>
            </c:txPr>
          </c:dLbls>
          <c:cat>
            <c:strRef>
              <c:f>categories</c:f>
              <c:strCache>
                <c:ptCount val="3"/>
                <c:pt idx="0">
                  <c:v>2022</c:v>
                </c:pt>
                <c:pt idx="1">
                  <c:v>2023</c:v>
                </c:pt>
                <c:pt idx="2">
                  <c:v>2024</c:v>
                </c:pt>
              </c:strCache>
            </c:strRef>
          </c:cat>
          <c:val>
            <c:numRef>
              <c:f>1</c:f>
              <c:numCache>
                <c:formatCode>General</c:formatCode>
                <c:ptCount val="3"/>
                <c:pt idx="0">
                  <c:v>2810</c:v>
                </c:pt>
                <c:pt idx="1">
                  <c:v>2789</c:v>
                </c:pt>
                <c:pt idx="2">
                  <c:v>2782</c:v>
                </c:pt>
              </c:numCache>
            </c:numRef>
          </c:val>
        </c:ser>
        <c:ser>
          <c:idx val="2"/>
          <c:order val="2"/>
          <c:tx>
            <c:strRef>
              <c:f>label 2</c:f>
              <c:strCache>
                <c:ptCount val="1"/>
                <c:pt idx="0">
                  <c:v>Kobiety</c:v>
                </c:pt>
              </c:strCache>
            </c:strRef>
          </c:tx>
          <c:spPr bwMode="auto">
            <a:prstGeom prst="rect">
              <a:avLst/>
            </a:prstGeom>
            <a:solidFill>
              <a:srgbClr val="A5A5A5"/>
            </a:solidFill>
            <a:ln w="12600">
              <a:noFill/>
            </a:ln>
          </c:spPr>
          <c:invertIfNegative val="0"/>
          <c:dLbls>
            <c:dLblPos val="outEnd"/>
            <c:numFmt formatCode="General" sourceLinked="0"/>
            <c:separator xml:space="preserve">; </c:separator>
            <c:showBubbleSize val="0"/>
            <c:showCatName val="0"/>
            <c:showLeaderLines val="0"/>
            <c:showLegendKey val="0"/>
            <c:showPercent val="0"/>
            <c:showSerName val="0"/>
            <c:showVal val="1"/>
            <c:txPr>
              <a:bodyPr wrap="square"/>
              <a:lstStyle/>
              <a:p>
                <a:pPr>
                  <a:defRPr sz="900" b="0" u="none" strike="noStrike">
                    <a:solidFill>
                      <a:srgbClr val="000000"/>
                    </a:solidFill>
                    <a:latin typeface="Calibri"/>
                    <a:ea typeface="Arial"/>
                  </a:defRPr>
                </a:pPr>
                <a:endParaRPr/>
              </a:p>
            </c:txPr>
          </c:dLbls>
          <c:cat>
            <c:strRef>
              <c:f>categories</c:f>
              <c:strCache>
                <c:ptCount val="3"/>
                <c:pt idx="0">
                  <c:v>2022</c:v>
                </c:pt>
                <c:pt idx="1">
                  <c:v>2023</c:v>
                </c:pt>
                <c:pt idx="2">
                  <c:v>2024</c:v>
                </c:pt>
              </c:strCache>
            </c:strRef>
          </c:cat>
          <c:val>
            <c:numRef>
              <c:f>2</c:f>
              <c:numCache>
                <c:formatCode>General</c:formatCode>
                <c:ptCount val="3"/>
                <c:pt idx="0">
                  <c:v>2646</c:v>
                </c:pt>
                <c:pt idx="1">
                  <c:v>2602</c:v>
                </c:pt>
                <c:pt idx="2">
                  <c:v>2582</c:v>
                </c:pt>
              </c:numCache>
            </c:numRef>
          </c:val>
        </c:ser>
        <c:dLbls>
          <c:showBubbleSize val="0"/>
          <c:showCatName val="0"/>
          <c:showLeaderLines val="0"/>
          <c:showLegendKey val="0"/>
          <c:showPercent val="0"/>
          <c:showSerName val="0"/>
          <c:showVal val="0"/>
        </c:dLbls>
        <c:gapWidth val="219"/>
        <c:overlap val="-26"/>
        <c:axId val="22704881"/>
        <c:axId val="22704882"/>
      </c:barChart>
      <c:catAx>
        <c:axId val="22704881"/>
        <c:scaling>
          <c:orientation val="minMax"/>
        </c:scaling>
        <c:delete val="0"/>
        <c:axPos val="b"/>
        <c:numFmt formatCode="General" sourceLinked="0"/>
        <c:majorTickMark val="none"/>
        <c:minorTickMark val="none"/>
        <c:tickLblPos val="nextTo"/>
        <c:spPr bwMode="auto">
          <a:prstGeom prst="rect">
            <a:avLst/>
          </a:prstGeom>
          <a:ln w="9360">
            <a:solidFill>
              <a:srgbClr val="D9D9D9"/>
            </a:solidFill>
            <a:round/>
          </a:ln>
        </c:spPr>
        <c:txPr>
          <a:bodyPr/>
          <a:lstStyle/>
          <a:p>
            <a:pPr>
              <a:defRPr sz="900" b="0" u="none" strike="noStrike">
                <a:solidFill>
                  <a:srgbClr val="000000"/>
                </a:solidFill>
                <a:latin typeface="Calibri"/>
                <a:ea typeface="Arial"/>
              </a:defRPr>
            </a:pPr>
            <a:endParaRPr/>
          </a:p>
        </c:txPr>
        <c:crossAx val="22704882"/>
        <c:crosses val="autoZero"/>
        <c:auto val="1"/>
        <c:lblAlgn val="ctr"/>
        <c:lblOffset val="100"/>
        <c:noMultiLvlLbl val="0"/>
      </c:catAx>
      <c:valAx>
        <c:axId val="22704882"/>
        <c:scaling>
          <c:orientation val="minMax"/>
        </c:scaling>
        <c:delete val="0"/>
        <c:axPos val="l"/>
        <c:numFmt formatCode="General" sourceLinked="0"/>
        <c:majorTickMark val="none"/>
        <c:minorTickMark val="none"/>
        <c:tickLblPos val="nextTo"/>
        <c:spPr bwMode="auto">
          <a:prstGeom prst="rect">
            <a:avLst/>
          </a:prstGeom>
          <a:ln w="6480">
            <a:noFill/>
          </a:ln>
        </c:spPr>
        <c:txPr>
          <a:bodyPr/>
          <a:lstStyle/>
          <a:p>
            <a:pPr>
              <a:defRPr sz="900" b="0" u="none" strike="noStrike">
                <a:solidFill>
                  <a:srgbClr val="000000"/>
                </a:solidFill>
                <a:latin typeface="Calibri"/>
                <a:ea typeface="Arial"/>
              </a:defRPr>
            </a:pPr>
            <a:endParaRPr/>
          </a:p>
        </c:txPr>
        <c:crossAx val="22704881"/>
        <c:crosses val="autoZero"/>
        <c:crossBetween val="between"/>
      </c:valAx>
      <c:spPr bwMode="auto">
        <a:prstGeom prst="rect">
          <a:avLst/>
        </a:prstGeom>
        <a:noFill/>
        <a:ln w="0">
          <a:noFill/>
        </a:ln>
      </c:spPr>
    </c:plotArea>
    <c:legend>
      <c:legendPos val="b"/>
      <c:layout/>
      <c:overlay val="0"/>
      <c:spPr bwMode="auto">
        <a:prstGeom prst="rect">
          <a:avLst/>
        </a:prstGeom>
        <a:noFill/>
        <a:ln w="0">
          <a:noFill/>
        </a:ln>
      </c:spPr>
      <c:txPr>
        <a:bodyPr/>
        <a:lstStyle/>
        <a:p>
          <a:pPr>
            <a:defRPr sz="900" b="0" u="none" strike="noStrike">
              <a:solidFill>
                <a:srgbClr val="000000"/>
              </a:solidFill>
              <a:latin typeface="Calibri"/>
              <a:ea typeface="Arial"/>
            </a:defRPr>
          </a:pPr>
          <a:endParaRPr/>
        </a:p>
      </c:txPr>
    </c:legend>
    <c:plotVisOnly val="1"/>
    <c:dispBlanksAs val="gap"/>
    <c:showDLblsOverMax val="0"/>
  </c:chart>
  <c:spPr bwMode="auto">
    <a:xfrm>
      <a:off x="0" y="0"/>
      <a:ext cx="0" cy="0"/>
    </a:xfrm>
    <a:prstGeom prst="rect">
      <a:avLst/>
    </a:prstGeom>
    <a:solidFill>
      <a:srgbClr val="FFFFFF"/>
    </a:solidFill>
    <a:ln w="9360">
      <a:noFill/>
    </a:ln>
  </c:spPr>
  <c:externalData r:id="rId1"/>
</c:chartSpace>
</file>

<file path=word/embeddings/_rels/Microsoft_Excel_Worksheet1.xlsx.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Chopiak</dc:creator>
  <dc:description/>
  <dc:language>pl-PL</dc:language>
  <cp:revision>52</cp:revision>
  <dcterms:created xsi:type="dcterms:W3CDTF">2025-01-10T08:50:00Z</dcterms:created>
  <dcterms:modified xsi:type="dcterms:W3CDTF">2026-06-16T12:11:59Z</dcterms:modified>
</cp:coreProperties>
</file>