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6"/>
        <w:pBdr/>
        <w:spacing w:after="0" w:before="0" w:line="240" w:lineRule="auto"/>
        <w:ind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/>
        <w:rPr>
          <w:rFonts w:ascii="Times New Roman" w:hAnsi="Times New Roman" w:eastAsia="Times New Roman" w:cs="Times New Roman"/>
          <w:sz w:val="20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0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4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/>
        <w:rPr>
          <w:rFonts w:ascii="Times New Roman" w:hAnsi="Times New Roman" w:eastAsia="Times New Roman" w:cs="Times New Roman"/>
          <w:b/>
          <w:sz w:val="20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sz w:val="20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sz w:val="20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sz w:val="20"/>
          <w:szCs w:val="24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UCHWAŁA NR 57/IX/2026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RADY GMINY BRANIEWO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Z DNIA 26 CZERWCA 2026 ROKU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w sprawie zatwierdzenia „Wieloletniego planu rozwoju i modernizacji urządzeń wodociągowych i urządzeń kanalizacyjnych na terenie Gminy Wiejskiej Braniewo na lata 2026-2029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Na podstawie art. 18 ust. 2 pkt 15 ustawy z dnia 08 marca 1990 r. o samorządzie gminnym (t. j. Dz. U. z 202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 r., poz.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662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) oraz art. 21 ust. 5 ustawy z dnia 07 czerwca 2001 r. o zbiorowym zaopatrzeniu w wodę i zbiorowym odprowadzani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u ścieków (t. j. Dz. U. z 2024 r., poz. 757), po zaopiniowaniu planu przez Dyrektora Regionalnego Zarządu Gospodarki Wodnej Państwowego Gospodarstwa Wodnego Wody Polskie (pismo z dnia 22.czerwca 2026 roku). znak: G.RZT.75.26.2026.KR.2, Rada Gminy Braniewo: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680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§ 1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Przyjmuje się  „Wieloletni plan rozwoju i modernizacji urządzeń wodociągowych  i urządzeń kanalizacyjnych na terenie Gminy Wiejskiej Braniewo na lata 2026-2029” stanowiący załącznik do niniejszej uchwały.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680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§ 2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Wykonanie uchwały powierza się Wójtowi Gminy Braniewo.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680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  <w:t xml:space="preserve">§ 3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 xml:space="preserve">Uchwała wchodzi w życie z dniem podjęcia.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 w14:paraId="6EFB5957">
      <w:pPr>
        <w:pStyle w:val="769"/>
        <w:pBdr/>
        <w:spacing w:after="0" w:before="0" w:line="240" w:lineRule="auto"/>
        <w:ind/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  <w:tab/>
        <w:t xml:space="preserve">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r>
    </w:p>
    <w:p w14:paraId="4200266E">
      <w:pPr>
        <w:pStyle w:val="726"/>
        <w:pBdr/>
        <w:tabs>
          <w:tab w:val="left" w:leader="none" w:pos="5800"/>
        </w:tabs>
        <w:spacing w:after="0" w:beforeAutospacing="1" w:line="240" w:lineRule="auto"/>
        <w:ind w:firstLine="680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firstLine="68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 w:right="0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 w:right="0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 w:right="0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 w:right="0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26"/>
        <w:pBdr/>
        <w:spacing w:after="0" w:before="0" w:line="240" w:lineRule="auto"/>
        <w:ind w:right="0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</w:r>
    </w:p>
    <w:p>
      <w:pPr>
        <w:pStyle w:val="769"/>
        <w:widowControl w:val="true"/>
        <w:pBdr/>
        <w:bidi w:val="false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highlight w:val="none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highlight w:val="none"/>
          <w:lang w:eastAsia="pl-PL"/>
          <w14:ligatures w14:val="none"/>
        </w:rPr>
      </w:r>
    </w:p>
    <w:p>
      <w:pPr>
        <w:pStyle w:val="769"/>
        <w:widowControl w:val="true"/>
        <w:pBdr/>
        <w:bidi w:val="false"/>
        <w:spacing w:after="0" w:beforeAutospacing="1" w:line="240" w:lineRule="auto"/>
        <w:ind w:right="0" w:firstLine="0" w:left="0"/>
        <w:jc w:val="right"/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highlight w:val="none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ZAŁĄCZNIK NR 1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highlight w:val="none"/>
          <w:lang w:eastAsia="pl-PL"/>
          <w14:ligatures w14:val="none"/>
        </w:rPr>
      </w:r>
    </w:p>
    <w:p>
      <w:pPr>
        <w:pStyle w:val="769"/>
        <w:widowControl w:val="true"/>
        <w:pBdr/>
        <w:bidi w:val="false"/>
        <w:spacing w:after="0" w:afterAutospacing="0" w:before="0" w:beforeAutospacing="0" w:line="240" w:lineRule="auto"/>
        <w:ind w:right="0" w:hanging="3458" w:left="3515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  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DO UCHWAŁY NR 57/IX/2026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r>
    </w:p>
    <w:p>
      <w:pPr>
        <w:pStyle w:val="769"/>
        <w:widowControl w:val="true"/>
        <w:pBdr/>
        <w:bidi w:val="false"/>
        <w:spacing w:after="0" w:afterAutospacing="0" w:before="0" w:beforeAutospacing="0" w:line="240" w:lineRule="auto"/>
        <w:ind w:right="0" w:hanging="3458" w:left="3515"/>
        <w:jc w:val="right"/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RADY GMINY BRANIEWO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</w:r>
    </w:p>
    <w:p>
      <w:pPr>
        <w:pStyle w:val="769"/>
        <w:widowControl w:val="true"/>
        <w:pBdr/>
        <w:bidi w:val="false"/>
        <w:spacing w:after="0" w:afterAutospacing="0" w:before="0" w:beforeAutospacing="0" w:line="240" w:lineRule="auto"/>
        <w:ind w:right="0" w:hanging="3458" w:left="3515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Z DNIA 26 CZERWCA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4"/>
          <w:lang w:eastAsia="pl-PL"/>
          <w14:ligatures w14:val="none"/>
        </w:rPr>
        <w:t xml:space="preserve">2026 ROKU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right="0" w:hanging="142" w:left="467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pl-PL"/>
          <w14:ligatures w14:val="none"/>
        </w:rPr>
      </w:r>
    </w:p>
    <w:p>
      <w:pPr>
        <w:pStyle w:val="726"/>
        <w:pBdr/>
        <w:spacing w:after="0" w:beforeAutospacing="1" w:line="240" w:lineRule="auto"/>
        <w:ind w:right="0" w:hanging="142" w:left="467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PRZEDSIĘBIORSTWO EKSPLOATACJI I ROZWOJU INFRASTRUKTURY GOSPODARCZEJ SP. Z O.O.  W MŁOTECZNIE, Młoteczno 12A, 14-500 Braniewo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30"/>
          <w:szCs w:val="30"/>
        </w:rPr>
        <w:t xml:space="preserve">WIELOLETNI PLAN ROZWOJU I MODERNIZACJI 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30"/>
          <w:szCs w:val="30"/>
        </w:rPr>
        <w:t xml:space="preserve">urządzeń wodociągowych i urządzeń kanalizacyjnych na terenie Gminy Wiejskiej Braniewo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4"/>
          <w:szCs w:val="34"/>
        </w:rPr>
        <w:t xml:space="preserve">na lata 2026-2029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center"/>
        <w:rPr>
          <w:rFonts w:ascii="Times New Roman" w:hAnsi="Times New Roman"/>
          <w:b/>
          <w:color w:val="ee0000"/>
          <w:sz w:val="30"/>
          <w:szCs w:val="30"/>
        </w:rPr>
      </w:pP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  <w:r>
        <w:rPr>
          <w:rFonts w:ascii="Times New Roman" w:hAnsi="Times New Roman"/>
          <w:b/>
          <w:color w:val="ee0000"/>
          <w:sz w:val="30"/>
          <w:szCs w:val="30"/>
        </w:rPr>
      </w:r>
    </w:p>
    <w:p>
      <w:pPr>
        <w:pStyle w:val="726"/>
        <w:pBdr/>
        <w:spacing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Spis treści: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Wprowadzenie....................................................................................................…........ 2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1"/>
        </w:numPr>
        <w:pBdr/>
        <w:spacing w:after="0" w:before="0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Planowany zakres usług wodociągowo kanalizacyjnych …................................2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1"/>
          <w:numId w:val="1"/>
        </w:numPr>
        <w:pBdr/>
        <w:spacing w:after="0" w:before="0"/>
        <w:ind/>
        <w:contextualSpacing w:val="true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Obecny zakres usług wodociągowo – kanaliz</w:t>
      </w:r>
      <w:r>
        <w:rPr>
          <w:rFonts w:ascii="Times New Roman" w:hAnsi="Times New Roman"/>
          <w:sz w:val="26"/>
          <w:szCs w:val="26"/>
        </w:rPr>
        <w:t xml:space="preserve">acyjnych</w:t>
      </w:r>
      <w:r>
        <w:rPr>
          <w:rFonts w:ascii="Times New Roman" w:hAnsi="Times New Roman"/>
          <w:sz w:val="26"/>
          <w:szCs w:val="26"/>
        </w:rPr>
        <w:t xml:space="preserve">…….........….......2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1"/>
          <w:numId w:val="1"/>
        </w:numPr>
        <w:pBdr/>
        <w:spacing w:after="0" w:before="0"/>
        <w:ind/>
        <w:contextualSpacing w:val="true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Planowany zakres usług wodociągowo – kanalizacyjnych …..................6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1"/>
        </w:numPr>
        <w:pBdr/>
        <w:spacing w:after="0" w:before="0"/>
        <w:ind/>
        <w:contextualSpacing w:val="true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Przedsięwzięcia  rozwojowo modernizacyjne w poszczególnych latach ............6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1"/>
        </w:numPr>
        <w:pBdr/>
        <w:spacing w:after="0" w:before="0"/>
        <w:ind/>
        <w:contextualSpacing w:val="true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Przedsięwzięcia racjonalizujące zużycie wody oraz wprowadzanie ścieków .....8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1"/>
        </w:numPr>
        <w:pBdr/>
        <w:spacing w:after="0" w:before="0"/>
        <w:ind/>
        <w:contextualSpacing w:val="true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Nakłady inwestycyjne w poszczególnych latach ..........………..........................8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1"/>
        </w:numPr>
        <w:pBdr/>
        <w:spacing w:after="0" w:before="0"/>
        <w:ind/>
        <w:contextualSpacing w:val="true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Sposoby finansowania planowanych inwestycji .................................................9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1"/>
        </w:numPr>
        <w:pBdr/>
        <w:spacing w:after="160" w:before="0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6"/>
          <w:szCs w:val="26"/>
        </w:rPr>
        <w:t xml:space="preserve">Planowany sposób realizacji krajowego programu oczyszczania ścieków komunalnych …………….……………………………….….............................9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 w14:paraId="35AAFD4D">
      <w:pPr>
        <w:pStyle w:val="726"/>
        <w:pBdr/>
        <w:spacing/>
        <w:ind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  <w:highlight w:val="none"/>
        </w:rPr>
      </w:r>
      <w:r>
        <w:rPr>
          <w:rFonts w:ascii="Times New Roman" w:hAnsi="Times New Roman"/>
          <w:b/>
          <w:bCs/>
          <w:sz w:val="30"/>
          <w:szCs w:val="30"/>
        </w:rPr>
      </w:r>
      <w:r>
        <w:rPr>
          <w:rFonts w:ascii="Times New Roman" w:hAnsi="Times New Roman"/>
          <w:b/>
          <w:bCs/>
          <w:sz w:val="30"/>
          <w:szCs w:val="30"/>
        </w:rPr>
      </w:r>
    </w:p>
    <w:p>
      <w:pPr>
        <w:pStyle w:val="726"/>
        <w:pBdr/>
        <w:spacing/>
        <w:ind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Wprowadzenie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Przedsiębiorstwo  Eksploatacji  i Rozwoju  Infrastruktury Gospodarczej Spółka z o.o.                         w Młotecznie prowadzi</w:t>
      </w:r>
      <w:r>
        <w:rPr>
          <w:rFonts w:ascii="Times New Roman" w:hAnsi="Times New Roman"/>
          <w:sz w:val="24"/>
          <w:szCs w:val="24"/>
        </w:rPr>
        <w:t xml:space="preserve"> działalność na podstawie zezwolenia wydanego dnia 26.07.2004r. - decyzja Wójta Gminy Braniewo Nr 7015-1-1/2004 oraz w oparciu o ustawę z dnia 7 czerwca 2001r. o zbiorowym zaopatrzeniu w wodę i zbiorowym odprowadzaniu ścieków (Dz. U. z 2024r., poz. 757,  z</w:t>
      </w:r>
      <w:r>
        <w:rPr>
          <w:rFonts w:ascii="Times New Roman" w:hAnsi="Times New Roman"/>
          <w:sz w:val="24"/>
          <w:szCs w:val="24"/>
        </w:rPr>
        <w:t xml:space="preserve">e</w:t>
      </w:r>
      <w:r>
        <w:rPr>
          <w:rFonts w:ascii="Times New Roman" w:hAnsi="Times New Roman"/>
          <w:sz w:val="24"/>
          <w:szCs w:val="24"/>
        </w:rPr>
        <w:t xml:space="preserve">. zm.) zwanej dalej „ustawą”.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Wieloletni plan rozwoju i modernizacji urządzeń wodoci</w:t>
      </w:r>
      <w:r>
        <w:rPr>
          <w:rFonts w:ascii="Times New Roman" w:hAnsi="Times New Roman"/>
          <w:sz w:val="24"/>
          <w:szCs w:val="24"/>
        </w:rPr>
        <w:t xml:space="preserve">ągowych i urządzeń kanalizacyjnych na lata 2026-2029 został  opracowany na podstawie art. 21, przy uwzględnieniu aktualnych uwarunkowań technicznych i  ekonomicznych Spółki. Niniejsze opracowanie przedstawia plan  na lata 2026-2029  - zwane dalej „planem”.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Urządzenia w</w:t>
      </w:r>
      <w:r>
        <w:rPr>
          <w:rFonts w:ascii="Times New Roman" w:hAnsi="Times New Roman"/>
          <w:sz w:val="24"/>
          <w:szCs w:val="24"/>
        </w:rPr>
        <w:t xml:space="preserve">odociągowe, których dotyczy plan to zgodnie z art. 2 pkt 16 ustawy ujęcia wód powierzchniowych i podziemnych, studnie publiczne, urządzenia służące do magazynowania             i uzdatniania wód, sieci wodociągowe oraz urządzenia regulujące ciśnienie wody.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Urządzenia</w:t>
      </w:r>
      <w:r>
        <w:rPr>
          <w:rFonts w:ascii="Times New Roman" w:hAnsi="Times New Roman"/>
          <w:sz w:val="24"/>
          <w:szCs w:val="24"/>
        </w:rPr>
        <w:t xml:space="preserve"> kanalizacyjne, których dotyczy plan to zgodnie z art. 2 pkt 14 to sieci kanalizacyjne, wyloty urządzeń kanalizacyjnych służących do wprowadzania ścieków do wód lub do ziemi oraz urządzenia podczyszczające i oczyszczające ścieki oraz przepompownie ścieków.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Zgodnie z ustawą plan musi być zgodny z kierunkami rozwoju gminy określonymi w studium uwarunkowań i kierunków zagospodaro</w:t>
      </w:r>
      <w:r>
        <w:rPr>
          <w:rFonts w:ascii="Times New Roman" w:hAnsi="Times New Roman"/>
          <w:sz w:val="24"/>
          <w:szCs w:val="24"/>
        </w:rPr>
        <w:t xml:space="preserve">wania przestrzennego gminy, miejscowymi planami zagospodarowania przestrzennego, a następnie, po zaopiniowaniu przez dyrektora regionalnego zarządu gospodarki wodnej Państwowego Gospodarstwa Wodnego Wody Polskie, powinien być zatwierdzony przez radę gminy.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Plan określa w szczególności (zgodnie z art. 21 pkt 2 ustawy):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2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Planowany zakres usług wodociągowo - kanalizacyjnych,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2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Przedsięwzięcia rozwojowo – modernizacyjne w poszczególnych latach,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2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Przedsięwzięcia racjonalizujące zużycie wody oraz wprowadzanie ścieków,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2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Nakłady inwestycyjne w poszczególnych latach,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2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Sposoby finansowania planowanych inwestycji,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6"/>
        <w:numPr>
          <w:ilvl w:val="0"/>
          <w:numId w:val="2"/>
        </w:numPr>
        <w:pBdr/>
        <w:spacing/>
        <w:ind w:right="0" w:hanging="360" w:left="765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</w:rPr>
        <w:t xml:space="preserve">Planowany sposób realizacji krajowego programu oczyszczania śc</w:t>
      </w:r>
      <w:r>
        <w:rPr>
          <w:rFonts w:ascii="Times New Roman" w:hAnsi="Times New Roman" w:cs="Calibri" w:cstheme="minorHAnsi"/>
        </w:rPr>
        <w:t xml:space="preserve">ieków komunalnych, jeżeli przedsiębiorstwo wodociągowo-kanalizacyjne świadczy usługi na obszarze aglomeracji wyznaczonej na podstawie art. 87 ust. 1 ustawy z dnia 20 lipca 2017 r. – Prawo wodne, ujętej w krajowym programie oczyszczania ścieków komunalnych.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6"/>
        <w:pBdr/>
        <w:spacing/>
        <w:ind w:right="0" w:firstLine="0" w:left="765"/>
        <w:jc w:val="both"/>
        <w:rPr>
          <w:rFonts w:ascii="Times New Roman" w:hAnsi="Times New Roman" w:cs="Calibri" w:cstheme="minorHAnsi"/>
        </w:rPr>
      </w:pPr>
      <w:r>
        <w:rPr>
          <w:rFonts w:ascii="Times New Roman" w:hAnsi="Times New Roman" w:cs="Calibri" w:cstheme="minorHAnsi"/>
        </w:rPr>
      </w:r>
      <w:r>
        <w:rPr>
          <w:rFonts w:ascii="Times New Roman" w:hAnsi="Times New Roman" w:cs="Calibri" w:cstheme="minorHAnsi"/>
        </w:rPr>
      </w:r>
      <w:r>
        <w:rPr>
          <w:rFonts w:ascii="Times New Roman" w:hAnsi="Times New Roman" w:cs="Calibri" w:cstheme="minorHAnsi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Niniejszy plan ma</w:t>
      </w:r>
      <w:r>
        <w:rPr>
          <w:rFonts w:ascii="Times New Roman" w:hAnsi="Times New Roman"/>
          <w:sz w:val="24"/>
          <w:szCs w:val="24"/>
        </w:rPr>
        <w:t xml:space="preserve"> charakter otwarty i może być sukcesywnie uzupełniany i korygowany. Dotyczy to zwłaszcza zmian rzeczowych, kosztowych i czasowych planowanych przedsięwzięć oraz kierunków pozyskiwania środków na ich realizację, których wcześniej nie można było przewidzieć.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Wieloletni plan rozwoju i modernizacji jest również załącznikiem do wniosku o zatwierdzenie taryf na zaopatrzenie w wodę i odprowadzanie ścieków, zgodnie z zapisem art. 24b ust. 6 pkt 2 Ustawy.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8"/>
        </w:numPr>
        <w:pBdr/>
        <w:spacing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Planowany zakres usług wodociągowo - kanalizacyjnych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5"/>
        <w:pBdr/>
        <w:spacing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</w:t>
      </w:r>
      <w:r>
        <w:rPr>
          <w:rFonts w:ascii="Times New Roman" w:hAnsi="Times New Roman" w:cs="Arial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Obecny zakres usług wodociągowo – kanalizacyjnych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Przedmiotem działania Spółki w zakresie  zbiorowego  zaopatrzenia w wodę i zbiorowego odprowadzania ścieków jest: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3"/>
        </w:numPr>
        <w:pBdr/>
        <w:spacing w:after="0" w:before="0"/>
        <w:ind w:right="0" w:hanging="360" w:left="108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pobór, uzdatnianie i rozprowadzanie wody,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3"/>
        </w:numPr>
        <w:pBdr/>
        <w:spacing w:after="0" w:before="0"/>
        <w:ind w:right="0" w:hanging="360" w:left="108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odprowadzanie i oczyszczanie ścieków.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Ponadto wykonywane są również: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4"/>
        </w:numPr>
        <w:pBdr/>
        <w:spacing w:after="0" w:before="0"/>
        <w:ind w:right="0" w:hanging="360" w:left="108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roboty budowlano – montażowe,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4"/>
        </w:numPr>
        <w:pBdr/>
        <w:spacing w:after="0" w:before="0"/>
        <w:ind w:right="0" w:hanging="360" w:left="108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konserwacja i czyszczenie kanalizacji sanitarnej i wodociągowej.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Przedsiębiorstwo prowadzi wyżej</w:t>
      </w:r>
      <w:r>
        <w:rPr>
          <w:rFonts w:ascii="Times New Roman" w:hAnsi="Times New Roman" w:cs="Calibri" w:cstheme="minorHAnsi"/>
          <w:sz w:val="24"/>
          <w:szCs w:val="24"/>
        </w:rPr>
        <w:t xml:space="preserve"> wymienioną działalność za pomocą urządzeń wodociągowych i kanalizacyjnych będących w jego posiadaniu. Posiadaczem rzeczy, w świetle art. 336 ustawy z dnia 23 kwietnia 1964 roku kodeks cywilny (Dz. U. z 2025r., poz. 1071 z późniejszymi zmianami) „jest zaró</w:t>
      </w:r>
      <w:r>
        <w:rPr>
          <w:rFonts w:ascii="Times New Roman" w:hAnsi="Times New Roman" w:cs="Calibri" w:cstheme="minorHAnsi"/>
          <w:sz w:val="24"/>
          <w:szCs w:val="24"/>
        </w:rPr>
        <w:t xml:space="preserve">wno ten, kto nią faktycznie włada jako właściciel (posiadacz samoistny), jak i ten, kto nią faktycznie włada jako użytkownik, zastawnik, najemca, dzierżawca lub mający inne prawo, z którym łączy się określone władztwo nad cudzą rzeczą (posiadacz zależny)”.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7"/>
        <w:pBdr/>
        <w:spacing/>
        <w:ind w:right="0" w:hanging="360" w:left="36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Standardy jakościowe świadczonych usług wynikają z: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5"/>
        </w:numPr>
        <w:pBdr/>
        <w:bidi w:val="false"/>
        <w:spacing w:after="0" w:afterAutospacing="0" w:before="0" w:beforeAutospacing="0" w:line="240" w:lineRule="auto"/>
        <w:ind w:right="0" w:hanging="624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bowiązujących przepisów prawnych, </w:t>
      </w:r>
      <w:r>
        <w:rPr>
          <w:rFonts w:ascii="Times New Roman" w:hAnsi="Times New Roman" w:cs="Calibri" w:cstheme="minorHAnsi"/>
          <w:sz w:val="24"/>
          <w:szCs w:val="24"/>
        </w:rPr>
        <w:t xml:space="preserve">a w szczególności z 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ustawy </w:t>
      </w:r>
      <w:r>
        <w:rPr>
          <w:rFonts w:ascii="Times New Roman" w:hAnsi="Times New Roman" w:cs="Calibri" w:cstheme="minorHAnsi"/>
          <w:sz w:val="24"/>
          <w:szCs w:val="24"/>
        </w:rPr>
        <w:t xml:space="preserve">oraz 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Rozporządzenia Ministra Gospodarki Morskiej i Żeglugi Śródlądowej z dnia 12 kwietnia 2022r. (</w:t>
      </w:r>
      <w:r>
        <w:rPr>
          <w:rFonts w:ascii="Times New Roman" w:hAnsi="Times New Roman" w:cs="Calibri" w:cstheme="minorHAnsi"/>
          <w:sz w:val="24"/>
          <w:szCs w:val="24"/>
        </w:rPr>
        <w:t xml:space="preserve">Dz. U. z 2022 poz. 1074) 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w sprawie określenia taryf, wzoru wniosku o zatwierdzenie taryf oraz warunków rozliczeń za zbiorowe  zaopatrzenie  w  wodę i  zbiorowe  odprowadzanie  ścieków</w:t>
      </w:r>
      <w:r>
        <w:rPr>
          <w:rFonts w:ascii="Times New Roman" w:hAnsi="Times New Roman" w:cs="Calibri" w:cstheme="minorHAnsi"/>
          <w:sz w:val="24"/>
          <w:szCs w:val="24"/>
        </w:rPr>
        <w:t xml:space="preserve">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5"/>
        </w:numPr>
        <w:pBdr/>
        <w:bidi w:val="false"/>
        <w:spacing w:after="0" w:afterAutospacing="0" w:before="0" w:beforeAutospacing="0" w:line="240" w:lineRule="auto"/>
        <w:ind w:right="0" w:hanging="624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przepis</w:t>
      </w:r>
      <w:r>
        <w:rPr>
          <w:rFonts w:ascii="Times New Roman" w:hAnsi="Times New Roman" w:cs="Calibri" w:cstheme="minorHAnsi"/>
          <w:sz w:val="24"/>
          <w:szCs w:val="24"/>
        </w:rPr>
        <w:t xml:space="preserve">ów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 dotyczących ochrony środowiska, a w szczególności Rozporządzenia Ministra Zdrowia w sprawie jakości wody przeznaczonej do spożycia przez ludzi z dnia 7 grudnia 2017r.</w:t>
      </w:r>
      <w:r>
        <w:rPr>
          <w:rFonts w:ascii="Times New Roman" w:hAnsi="Times New Roman" w:cs="Calibri" w:cstheme="minorHAnsi"/>
          <w:sz w:val="24"/>
          <w:szCs w:val="24"/>
        </w:rPr>
        <w:t xml:space="preserve"> 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(Dz. U. 2017r. poz. 2294 z późniejszymi zmianami),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5"/>
        </w:numPr>
        <w:pBdr/>
        <w:bidi w:val="false"/>
        <w:spacing w:after="0" w:afterAutospacing="0" w:before="0" w:beforeAutospacing="0" w:line="240" w:lineRule="auto"/>
        <w:ind w:right="0" w:hanging="624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z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ezwolenia </w:t>
      </w:r>
      <w:r>
        <w:rPr>
          <w:rFonts w:ascii="Times New Roman" w:hAnsi="Times New Roman" w:cs="Calibri" w:cstheme="minorHAnsi"/>
          <w:sz w:val="24"/>
          <w:szCs w:val="24"/>
        </w:rPr>
        <w:t xml:space="preserve">na prowadzenie zbiorowego zaopatrzenia w wodę i zbiorowego odprowadzania ścieków 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wydanego dnia 26.07.2004r. - decyzja Wójta Gminy Braniewo Nr 7015-1-1/2004</w:t>
      </w:r>
      <w:r>
        <w:rPr>
          <w:rFonts w:ascii="Times New Roman" w:hAnsi="Times New Roman" w:cs="Calibri" w:cstheme="minorHAnsi"/>
          <w:sz w:val="24"/>
          <w:szCs w:val="24"/>
        </w:rPr>
        <w:t xml:space="preserve">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5"/>
        </w:numPr>
        <w:pBdr/>
        <w:bidi w:val="false"/>
        <w:spacing w:after="0" w:afterAutospacing="0" w:before="0" w:beforeAutospacing="0" w:line="240" w:lineRule="auto"/>
        <w:ind w:right="0" w:hanging="624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regulaminu dostarczania wody i odprowadzania ścieków przyjętego uchwałą                   nr 83/VIII/2021 Rady Gminy Braniewo z dnia 10 września 2021 r.,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5"/>
        </w:numPr>
        <w:pBdr/>
        <w:bidi w:val="false"/>
        <w:spacing w:after="0" w:afterAutospacing="0" w:before="0" w:beforeAutospacing="0" w:line="240" w:lineRule="auto"/>
        <w:ind w:right="0" w:hanging="624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u</w:t>
      </w:r>
      <w:r>
        <w:rPr>
          <w:rFonts w:ascii="Times New Roman" w:hAnsi="Times New Roman" w:eastAsia="Times New Roman" w:cs="Calibri" w:cstheme="minorHAnsi"/>
          <w:sz w:val="24"/>
          <w:szCs w:val="24"/>
        </w:rPr>
        <w:t xml:space="preserve">mów z poszczególnymi odbiorcami usług wodno – kanalizacyjnych</w:t>
      </w:r>
      <w:r>
        <w:rPr>
          <w:rFonts w:ascii="Times New Roman" w:hAnsi="Times New Roman" w:cs="Calibri" w:cstheme="minorHAnsi"/>
          <w:sz w:val="24"/>
          <w:szCs w:val="24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pBdr/>
        <w:spacing w:after="0" w:before="0" w:line="240" w:lineRule="auto"/>
        <w:ind w:left="1080"/>
        <w:contextualSpacing w:val="true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W celu zaspokojenia potrzeb mieszkańców Gminy Braniewo woda pobierana jest z 10 podziemnych ujęć wodnych oraz ścieki zrzucane są do trzech oczyszczalni ścieków: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6"/>
        </w:numPr>
        <w:pBdr/>
        <w:bidi w:val="false"/>
        <w:spacing w:after="160" w:afterAutospacing="0" w:before="0" w:beforeAutospacing="0" w:line="240" w:lineRule="auto"/>
        <w:ind w:right="0" w:hanging="567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10 stacji uzdatniania wody wraz z siecią wodociągową (SUW Cielętnik, SUW Gronowo, SUW Gronówko, SUW Lipowina, SUW Nowa Pasłęka, SUW Rudłowo, SUW Strubiny, SUW Szyleny, SUW Wielewo, SUW Żelazna Góra):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  <w:u w:val="single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</w:r>
      <w:r>
        <w:rPr>
          <w:rFonts w:ascii="Times New Roman" w:hAnsi="Times New Roman" w:cs="Calibri" w:cstheme="minorHAnsi"/>
          <w:sz w:val="24"/>
          <w:szCs w:val="24"/>
          <w:u w:val="single"/>
        </w:rPr>
      </w:r>
      <w:r>
        <w:rPr>
          <w:rFonts w:ascii="Times New Roman" w:hAnsi="Times New Roman" w:cs="Calibri" w:cstheme="minorHAnsi"/>
          <w:sz w:val="24"/>
          <w:szCs w:val="24"/>
          <w:u w:val="single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  <w:u w:val="single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</w:r>
      <w:r>
        <w:rPr>
          <w:rFonts w:ascii="Times New Roman" w:hAnsi="Times New Roman" w:cs="Calibri" w:cstheme="minorHAnsi"/>
          <w:sz w:val="24"/>
          <w:szCs w:val="24"/>
          <w:u w:val="single"/>
        </w:rPr>
      </w:r>
      <w:r>
        <w:rPr>
          <w:rFonts w:ascii="Times New Roman" w:hAnsi="Times New Roman" w:cs="Calibri" w:cstheme="minorHAnsi"/>
          <w:sz w:val="24"/>
          <w:szCs w:val="24"/>
          <w:u w:val="single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Gronowo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ze studni Nr 1, która jest wyłączona   z eksploatacji oraz studni Nr 2, która została wykonana w 1994 r., odwiercona do głębokości 31 m. oraz </w:t>
      </w:r>
      <w:bookmarkStart w:id="0" w:name="_Hlk64290951"/>
      <w:r>
        <w:rPr>
          <w:rFonts w:ascii="Times New Roman" w:hAnsi="Times New Roman" w:cs="Calibri" w:cstheme="minorHAnsi"/>
          <w:sz w:val="24"/>
          <w:szCs w:val="24"/>
        </w:rPr>
        <w:t xml:space="preserve">wykorzystująca zasoby wody z utworów czwartorzędowych</w:t>
      </w:r>
      <w:bookmarkEnd w:id="0"/>
      <w:r>
        <w:rPr>
          <w:rFonts w:ascii="Times New Roman" w:hAnsi="Times New Roman" w:cs="Calibri" w:cstheme="minorHAnsi"/>
          <w:sz w:val="24"/>
          <w:szCs w:val="24"/>
        </w:rPr>
        <w:t xml:space="preserve">. Maksymalna zdolność produkcji wody studni, według pozwolenia wodnoprawnego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67,4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6,5 m³/h. Woda podlega uzdatnianiu. Stacja uzdatniania wody jest w pełni zautomatyzowana i bezpośrednio na urządzenie uzdatniające i hydrofor przepływa woda.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Gronówko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ze studni Nr 1, która została wykonana w 1968 r., odwiercona do głębokości 41 m oraz </w:t>
      </w:r>
      <w:r>
        <w:rPr>
          <w:rFonts w:ascii="Times New Roman" w:hAnsi="Times New Roman" w:cs="Calibri" w:cstheme="minorHAnsi"/>
          <w:sz w:val="24"/>
          <w:szCs w:val="24"/>
        </w:rPr>
        <w:t xml:space="preserve">ze studni Nr 2, która została wykonana    w 1979 r., odwiercona do głębokości 42 m. Stacja wykorzystuje zasoby wody                 z utworów czwartorzędowych. Maksymalna zdolność produkcji wody stacji z obu studni, według pozwolenia wodnoprawnego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=30,0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5,0 m³/h. Woda podlega uzdatnia</w:t>
      </w:r>
      <w:r>
        <w:rPr>
          <w:rFonts w:ascii="Times New Roman" w:hAnsi="Times New Roman" w:cs="Calibri" w:cstheme="minorHAnsi"/>
          <w:sz w:val="24"/>
          <w:szCs w:val="24"/>
        </w:rPr>
        <w:t xml:space="preserve">niu, przy pomocy odżelaziacza i odmanganiacza przed podaniem do sieci. Przed podaniem do sieci, kierowana jest do dwóch zbiorników retencyjnych o pojemności 20 m³ każdy. Następnie woda ze zbiorników kierowana jest na zestaw hydroforowy i podawana do sieci.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Lipowina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 dwóch studni głębinowych Nr 4 i nr 5. Studnia Nr 4, została wykonana w 1976 r. i przeprowadzono jej rekonstr</w:t>
      </w:r>
      <w:r>
        <w:rPr>
          <w:rFonts w:ascii="Times New Roman" w:hAnsi="Times New Roman" w:cs="Calibri" w:cstheme="minorHAnsi"/>
          <w:sz w:val="24"/>
          <w:szCs w:val="24"/>
        </w:rPr>
        <w:t xml:space="preserve">ukcję w 1990 r.  do głębokości 78 m. Studnia Nr 5 została wykonana w 2009 r., odwiercona do głębokości 83 m. Stacja wykorzystuje zasoby wody z utworów czwartorzędowych. Maksymalna zdolność produkcji wody obu studni, według pozwolenia wodnoprawnego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212,0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25,0 m³/h. Woda podlega uzdatnianiu. Stacja uzdatniania pracuje automatycznie. Najpierw następuje napowietrzenie otwarte na złożu ociekowym,</w:t>
      </w:r>
      <w:r>
        <w:rPr>
          <w:rFonts w:ascii="Times New Roman" w:hAnsi="Times New Roman" w:cs="Calibri" w:cstheme="minorHAnsi"/>
          <w:sz w:val="24"/>
          <w:szCs w:val="24"/>
        </w:rPr>
        <w:t xml:space="preserve"> a następnie filtracja dwustopniowa poprzez odżelaźnianie na złożu kwarcowym i antracytowym oraz na złożu kwarcowym i katalitycznym. Woda pompowana jest do dwóch zbiorników retencyjnych           o pojemności 100 m³ każdy i kierowana do sieci wodociągowej.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Rudłowo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 jednej studni głębinowej, która została wykonana w 1964 r. i odwiercona do głębokości 167,5 m. Stacja wykorzystuje zasoby wody z utworów trzeciorzędowych. Maksymalna zdolność produkcji wody studni, według pozwolenia wodnoprawnego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46,0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5,0 m³/h. Woda podlega uzdatnianiu poprzez napowietrzen</w:t>
      </w:r>
      <w:r>
        <w:rPr>
          <w:rFonts w:ascii="Times New Roman" w:hAnsi="Times New Roman" w:cs="Calibri" w:cstheme="minorHAnsi"/>
          <w:sz w:val="24"/>
          <w:szCs w:val="24"/>
        </w:rPr>
        <w:t xml:space="preserve">ie celem wytrącenia związków żelaza i manganu. Napowietrzanie wody przebiega w dynamicznym mieszaczu wodno-powietrznym. Po napowietrzeniu i usunięciu ponadnormatywnych ilości żelaza i manganu woda tłoczona jest do zestawu hydroforowego i podawana do sieci.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Nowa Pasłęka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ze studni Nr 1, która została wykonana w 1966 r., odwiercona d</w:t>
      </w:r>
      <w:r>
        <w:rPr>
          <w:rFonts w:ascii="Times New Roman" w:hAnsi="Times New Roman" w:cs="Calibri" w:cstheme="minorHAnsi"/>
          <w:sz w:val="24"/>
          <w:szCs w:val="24"/>
        </w:rPr>
        <w:t xml:space="preserve">o głębokości 141,3 m oraz studni Nr 3, która została wykonana w 2020 r., odwiercona do głębokości 128 m. Stacja wykorzystuje zasoby wody o oligoceńskim poziomie wodonośnym. Maksymalna zdolność produkcji wody studni, według pozwolenia wodnoprawnego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100,0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</w:t>
      </w:r>
      <w:r>
        <w:rPr>
          <w:rFonts w:ascii="Times New Roman" w:hAnsi="Times New Roman" w:cs="Calibri" w:cstheme="minorHAnsi"/>
          <w:sz w:val="24"/>
          <w:szCs w:val="24"/>
        </w:rPr>
        <w:t xml:space="preserve"> = 0,0025m</w:t>
      </w:r>
      <w:r>
        <w:rPr>
          <w:rFonts w:ascii="Times New Roman" w:hAnsi="Times New Roman" w:cs="Calibri" w:cstheme="minorHAnsi"/>
          <w:sz w:val="24"/>
          <w:szCs w:val="24"/>
          <w:vertAlign w:val="superscript"/>
        </w:rPr>
        <w:t xml:space="preserve">3</w:t>
      </w:r>
      <w:r>
        <w:rPr>
          <w:rFonts w:ascii="Times New Roman" w:hAnsi="Times New Roman" w:cs="Calibri" w:cstheme="minorHAnsi"/>
          <w:sz w:val="24"/>
          <w:szCs w:val="24"/>
        </w:rPr>
        <w:t xml:space="preserve">/s. Woda nie podlega uzdatnianiu. Kierowana jest rurociągiem do zbiornika retencyjnego o pojemności 50 m³,             a następnie do sieci wodociągowej.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Szyleny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 dwóch studni. Studnia Nr 3, została wykonana w 2014 r., odwiercona do głębokości 88 m. Studnia Nr 4, została wykonana w 2018r., odw</w:t>
      </w:r>
      <w:r>
        <w:rPr>
          <w:rFonts w:ascii="Times New Roman" w:hAnsi="Times New Roman" w:cs="Calibri" w:cstheme="minorHAnsi"/>
          <w:sz w:val="24"/>
          <w:szCs w:val="24"/>
        </w:rPr>
        <w:t xml:space="preserve">iercona do głębokości 89 m. Stacja wykorzystuje zasoby wody o mioceńskim poziomie wodonośnym. Maksymalna zdolność produkcji wody obu studni, według pozwolenia wodnoprawnego Nr ŚL.6341.3.2016 z dnia 29.03.2016 r. wydane przez Starostę Braniewskiego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426,0 </w:t>
      </w:r>
      <w:bookmarkStart w:id="1" w:name="_Hlk64625677"/>
      <w:r>
        <w:rPr>
          <w:rFonts w:ascii="Times New Roman" w:hAnsi="Times New Roman" w:cs="Calibri" w:cstheme="minorHAnsi"/>
          <w:sz w:val="24"/>
          <w:szCs w:val="24"/>
        </w:rPr>
        <w:t xml:space="preserve">m³/d</w:t>
      </w:r>
      <w:bookmarkEnd w:id="1"/>
      <w:r>
        <w:rPr>
          <w:rFonts w:ascii="Times New Roman" w:hAnsi="Times New Roman" w:cs="Calibri" w:cstheme="minorHAnsi"/>
          <w:sz w:val="24"/>
          <w:szCs w:val="24"/>
        </w:rPr>
        <w:t xml:space="preserve">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 = </w:t>
      </w:r>
      <w:r>
        <w:rPr>
          <w:rFonts w:ascii="Times New Roman" w:hAnsi="Times New Roman" w:cs="Calibri" w:cstheme="minorHAnsi"/>
          <w:sz w:val="24"/>
          <w:szCs w:val="24"/>
        </w:rPr>
        <w:t xml:space="preserve">56,0 m³/h, oraz decyzji Dyrektora Zarządu Zlewni w Elblągu Państwowego Gospodarstwa Wodnego Wody Polskie o Nr GD.ZUZ.2.421.128.2018.EW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z dnia 06.12.2018 r., które w chwili obecnej jest w odwołaniu- pobór wód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</w:t>
      </w:r>
      <w:r>
        <w:rPr>
          <w:rFonts w:ascii="Times New Roman" w:hAnsi="Times New Roman" w:cs="Calibri" w:cstheme="minorHAnsi"/>
          <w:sz w:val="24"/>
          <w:szCs w:val="24"/>
        </w:rPr>
        <w:t xml:space="preserve"> = 0,008333 m</w:t>
      </w:r>
      <w:r>
        <w:rPr>
          <w:rFonts w:ascii="Times New Roman" w:hAnsi="Times New Roman" w:cs="Calibri" w:cstheme="minorHAnsi"/>
          <w:sz w:val="24"/>
          <w:szCs w:val="24"/>
          <w:vertAlign w:val="superscript"/>
        </w:rPr>
        <w:t xml:space="preserve">3</w:t>
      </w:r>
      <w:r>
        <w:rPr>
          <w:rFonts w:ascii="Times New Roman" w:hAnsi="Times New Roman" w:cs="Calibri" w:cstheme="minorHAnsi"/>
          <w:sz w:val="24"/>
          <w:szCs w:val="24"/>
        </w:rPr>
        <w:t xml:space="preserve">/s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328 m³/d. Woda podlega uzdatnian</w:t>
      </w:r>
      <w:r>
        <w:rPr>
          <w:rFonts w:ascii="Times New Roman" w:hAnsi="Times New Roman" w:cs="Calibri" w:cstheme="minorHAnsi"/>
          <w:sz w:val="24"/>
          <w:szCs w:val="24"/>
        </w:rPr>
        <w:t xml:space="preserve">iu, poprzez tłoczenie do mieszacza wodno-powietrznego w układzie technologii 3-stopniowej filtracji wody na złożu kwarcowym i kwarcowo-katalitycznym do dwóch zbiorników wody czystej o pojemności 125 m³ każdy. Następnie kierowana jest do sieci wodociągowej.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Żelazna Góra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 dwóch studni głębinowych. Studnia Nr 1, została wykonana w 1966 </w:t>
      </w:r>
      <w:r>
        <w:rPr>
          <w:rFonts w:ascii="Times New Roman" w:hAnsi="Times New Roman" w:cs="Calibri" w:cstheme="minorHAnsi"/>
          <w:sz w:val="24"/>
          <w:szCs w:val="24"/>
        </w:rPr>
        <w:t xml:space="preserve">r., odwiercona do głębokości 33,5. Studnia Nr 2 została wykonana w 1996 r., odwiercona do głębokości 35,1 m. Stacja wykorzystuje zasoby wody z utworów czwartorzędowych. Maksymalna zdolność produkcji wody obu studni, według pozwolenia wodnoprawnego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130,0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19,0m³/h. Woda ze studni tłoczona jest do budynku stacji uzdatn</w:t>
      </w:r>
      <w:r>
        <w:rPr>
          <w:rFonts w:ascii="Times New Roman" w:hAnsi="Times New Roman" w:cs="Calibri" w:cstheme="minorHAnsi"/>
          <w:sz w:val="24"/>
          <w:szCs w:val="24"/>
        </w:rPr>
        <w:t xml:space="preserve">iania wody. Po napowietrzeniu aeratorze, gdzie zostaje pozbawiona nadmiarów związków żelaza, woda kierowana jest na zestaw filtracyjny, składający się z dwóch odżelaziaczy. Następnie uzdatniona woda jest kierowana do zbiornika retencyjnego o pojemności 50m</w:t>
      </w:r>
      <w:r>
        <w:rPr>
          <w:rFonts w:ascii="Times New Roman" w:hAnsi="Times New Roman" w:cs="Calibri" w:cstheme="minorHAnsi"/>
          <w:sz w:val="24"/>
          <w:szCs w:val="24"/>
          <w:vertAlign w:val="superscript"/>
        </w:rPr>
        <w:t xml:space="preserve">3</w:t>
      </w:r>
      <w:r>
        <w:rPr>
          <w:rFonts w:ascii="Times New Roman" w:hAnsi="Times New Roman" w:cs="Calibri" w:cstheme="minorHAnsi"/>
          <w:sz w:val="24"/>
          <w:szCs w:val="24"/>
        </w:rPr>
        <w:t xml:space="preserve"> i podawana do sieci wodociągowej.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Strubiny</w:t>
      </w:r>
      <w:r>
        <w:rPr>
          <w:rFonts w:ascii="Times New Roman" w:hAnsi="Times New Roman" w:cs="Calibri" w:cstheme="minorHAnsi"/>
          <w:sz w:val="24"/>
          <w:szCs w:val="24"/>
        </w:rPr>
        <w:t xml:space="preserve"> nie posiada pozwolenia wodnoprawnego. Średnie wydobycie ze studni znajdującej się w miejscowości Strubiny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1,2 m³/d, </w:t>
        <w:br/>
        <w:t xml:space="preserve">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0,05m³/h. Ujęcie wody zostało wyłączone z eksploatacji.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Cielętnik</w:t>
      </w:r>
      <w:r>
        <w:rPr>
          <w:rFonts w:ascii="Times New Roman" w:hAnsi="Times New Roman" w:cs="Calibri" w:cstheme="minorHAnsi"/>
          <w:sz w:val="24"/>
          <w:szCs w:val="24"/>
        </w:rPr>
        <w:t xml:space="preserve"> - ujęcie wody zostało czasowo wyłączone            z eksploatacji.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Stacja Uzdatniania Wody w miejscowości Wielewo</w:t>
      </w:r>
      <w:r>
        <w:rPr>
          <w:rFonts w:ascii="Times New Roman" w:hAnsi="Times New Roman" w:cs="Calibri" w:cstheme="minorHAnsi"/>
          <w:sz w:val="24"/>
          <w:szCs w:val="24"/>
        </w:rPr>
        <w:t xml:space="preserve"> składa się ze studni, w której zam</w:t>
      </w:r>
      <w:r>
        <w:rPr>
          <w:rFonts w:ascii="Times New Roman" w:hAnsi="Times New Roman" w:cs="Calibri" w:cstheme="minorHAnsi"/>
          <w:sz w:val="24"/>
          <w:szCs w:val="24"/>
        </w:rPr>
        <w:t xml:space="preserve">ontowano pompę głębinową na głębokości 21 m. Maksymalna zdolność produkcji wody ze studni, według decyzji GD.ZUZ.2.4210.134.2023.ŻM z dnia 18.09.2023 r. wydanej przez Dyrektora Zarządu Zlewni w Elblągu Państwowego Gospodarstwa Wodnego Wody Polskie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= 4,2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 = </w:t>
      </w:r>
      <w:r>
        <w:rPr>
          <w:rFonts w:ascii="Times New Roman" w:hAnsi="Times New Roman" w:cs="Calibri" w:cstheme="minorHAnsi"/>
          <w:sz w:val="24"/>
          <w:szCs w:val="24"/>
        </w:rPr>
        <w:t xml:space="preserve">0,0013 m³/s.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6"/>
        </w:numPr>
        <w:pBdr/>
        <w:bidi w:val="false"/>
        <w:spacing w:after="0" w:afterAutospacing="0" w:before="0" w:beforeAutospacing="0" w:line="240" w:lineRule="auto"/>
        <w:ind w:right="0" w:hanging="510" w:left="51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</w:t>
      </w:r>
      <w:r>
        <w:rPr>
          <w:rFonts w:ascii="Times New Roman" w:hAnsi="Times New Roman" w:cs="Calibri" w:cstheme="minorHAnsi"/>
          <w:sz w:val="24"/>
          <w:szCs w:val="24"/>
        </w:rPr>
        <w:t xml:space="preserve">ieć wodociągową do miejscowości Stępień, Zawierz, Józefowo, Glinka, kolonia Bobrowiec – woda pochodzi z zakupu hurtowego od Wodociągów Miejskich                   w Braniewie,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6"/>
        </w:numPr>
        <w:pBdr/>
        <w:bidi w:val="false"/>
        <w:spacing w:after="160" w:afterAutospacing="0" w:before="0" w:beforeAutospacing="0" w:line="240" w:lineRule="auto"/>
        <w:ind w:right="0" w:hanging="510" w:left="51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Oczyszczalnię ścieków w miejscowości Lipowina wraz z siecią kanalizacyjna,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Oczyszczalnia Ścieków Lipowina</w:t>
      </w:r>
      <w:r>
        <w:rPr>
          <w:rFonts w:ascii="Times New Roman" w:hAnsi="Times New Roman" w:cs="Calibri" w:cstheme="minorHAnsi"/>
          <w:sz w:val="24"/>
          <w:szCs w:val="24"/>
        </w:rPr>
        <w:t xml:space="preserve"> położona jest w miejscowości Lipowina, 15 kilometrów od miasta Braniewo. Oczyszczalnia zajmuje teren o powierzchni 3,675 m² i funkcjonuje po modernizacji od 2007 r. Projektowana przepustowość oczyszczalni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 </w:t>
      </w:r>
      <w:r>
        <w:rPr>
          <w:rFonts w:ascii="Times New Roman" w:hAnsi="Times New Roman" w:cs="Calibri" w:cstheme="minorHAnsi"/>
          <w:sz w:val="24"/>
          <w:szCs w:val="24"/>
        </w:rPr>
        <w:t xml:space="preserve">= 142,0 m³/d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50,0 m³/h. Oczyszczalnia ścieków w Lipowinie leży w zlewni rzeki Lipówki. Posiada pozwolenie wodnoprawne Nr ŚL.6341.9.2016 wydane przez Starostę Braniewskiego dnia 04.05.2016 r. Ścieki doprowadzane są przez 9 przepompowni ścieków.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widowControl w:val="true"/>
        <w:numPr>
          <w:ilvl w:val="0"/>
          <w:numId w:val="7"/>
        </w:numPr>
        <w:pBdr/>
        <w:bidi w:val="false"/>
        <w:spacing w:after="160" w:afterAutospacing="0" w:before="0" w:beforeAutospacing="0" w:line="240" w:lineRule="auto"/>
        <w:ind w:right="0" w:hanging="567" w:left="567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Oczyszczalnię ścieków w miejscowości Gronowo wraz z siecią kanalizacyjną,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Oczyszczalnia Ścieków Gronowo</w:t>
      </w:r>
      <w:r>
        <w:rPr>
          <w:rFonts w:ascii="Times New Roman" w:hAnsi="Times New Roman" w:cs="Calibri" w:cstheme="minorHAnsi"/>
          <w:sz w:val="24"/>
          <w:szCs w:val="24"/>
        </w:rPr>
        <w:t xml:space="preserve"> położona jest w miejscowości Gronowo, 8 kilometrów od miasta Braniewo. Oczyszczalnia zajmuje teren o powierzchni 0,8008 hektara i funkcjonuje od 1996r. Projektowana przepustowość oczyszczalni wynosi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śrd</w:t>
      </w:r>
      <w:r>
        <w:rPr>
          <w:rFonts w:ascii="Times New Roman" w:hAnsi="Times New Roman" w:cs="Calibri" w:cstheme="minorHAnsi"/>
          <w:sz w:val="24"/>
          <w:szCs w:val="24"/>
        </w:rPr>
        <w:t xml:space="preserve"> 75,0 m³/d, Q</w:t>
      </w:r>
      <w:r>
        <w:rPr>
          <w:rFonts w:ascii="Times New Roman" w:hAnsi="Times New Roman" w:cs="Calibri" w:cstheme="minorHAnsi"/>
          <w:sz w:val="24"/>
          <w:szCs w:val="24"/>
          <w:vertAlign w:val="subscript"/>
        </w:rPr>
        <w:t xml:space="preserve">maxh</w:t>
      </w:r>
      <w:r>
        <w:rPr>
          <w:rFonts w:ascii="Times New Roman" w:hAnsi="Times New Roman" w:cs="Calibri" w:cstheme="minorHAnsi"/>
          <w:sz w:val="24"/>
          <w:szCs w:val="24"/>
        </w:rPr>
        <w:t xml:space="preserve"> = 7,3 m³/h. Oczyszczalnia ścieków w Gronowie leży w zlewni rzeki Gołuby. Do oczyszczalni doprowadzane są ścieki z 9 przepompowni ścieków. Pos</w:t>
      </w:r>
      <w:r>
        <w:rPr>
          <w:rFonts w:ascii="Times New Roman" w:hAnsi="Times New Roman" w:cs="Calibri" w:cstheme="minorHAnsi"/>
          <w:sz w:val="24"/>
          <w:szCs w:val="24"/>
        </w:rPr>
        <w:t xml:space="preserve">iada pozwolenie wodnoprawne Nr ŚL.6341.3.2012 wydane przez Starostę Braniewskiego dnia 28.02.2012 r. przedłużone decyzją Dyrektora Zarządu Zlewni w Elblągu Państwowego Gospodarstwa Wodnego Wody Polskie nr GD.ZUZ.2.4210.300.2021.JB       z dnia 27.01.2022r.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widowControl w:val="true"/>
        <w:numPr>
          <w:ilvl w:val="0"/>
          <w:numId w:val="6"/>
        </w:numPr>
        <w:pBdr/>
        <w:bidi w:val="false"/>
        <w:spacing w:after="160" w:afterAutospacing="0" w:before="0" w:beforeAutospacing="0" w:line="240" w:lineRule="auto"/>
        <w:ind w:right="0" w:hanging="454" w:left="454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</w:t>
      </w:r>
      <w:r>
        <w:rPr>
          <w:rFonts w:ascii="Times New Roman" w:hAnsi="Times New Roman" w:cs="Calibri" w:cstheme="minorHAnsi"/>
          <w:sz w:val="24"/>
          <w:szCs w:val="24"/>
        </w:rPr>
        <w:t xml:space="preserve">ieć kanalizacyjną w miejscowościach Rogity, Młoteczno, Rudłowo, Za</w:t>
      </w:r>
      <w:r>
        <w:rPr>
          <w:rFonts w:ascii="Times New Roman" w:hAnsi="Times New Roman" w:cs="Calibri" w:cstheme="minorHAnsi"/>
          <w:sz w:val="24"/>
          <w:szCs w:val="24"/>
        </w:rPr>
        <w:t xml:space="preserve">wierz, Szyleny Wieś, Szyleny Osada, Brzeszczyny, Bemowizna, Glinka, Nowa Pasłęka, Stara Pasłęka, Klejnówko, Ułowo skąd ścieki odprowadzane są do sieci kanalizacyjnej miejscowości Braniewo (hurt)  a tym samym do oczyszczalni ścieków w miejscowości Braniewo.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  <w:u w:val="single"/>
        </w:rPr>
        <w:t xml:space="preserve">Oczyszczalnia ścieków Braniewo</w:t>
      </w:r>
      <w:r>
        <w:rPr>
          <w:rFonts w:ascii="Times New Roman" w:hAnsi="Times New Roman" w:cs="Calibri" w:cstheme="minorHAnsi"/>
          <w:sz w:val="24"/>
          <w:szCs w:val="24"/>
        </w:rPr>
        <w:t xml:space="preserve"> położona na terenie miasta Braniewa zarządzana przez Wodociągi Miejskie Sp. z o.o. w Braniewie.</w:t>
      </w:r>
      <w:r>
        <w:rPr>
          <w:rFonts w:ascii="Times New Roman" w:hAnsi="Times New Roman" w:cs="Calibri" w:cstheme="minorHAnsi"/>
          <w:sz w:val="24"/>
          <w:szCs w:val="24"/>
        </w:rPr>
        <w:t xml:space="preserve"> Ścieki odprowadzane są z następujących miejscowości: Zawierz gdzie na sieci kanalizacyjnej znajduje się 10 przepompowni ścieków, Ułowo 9 przepompowni ścieków, Glinka 1 przepompownia ścieków, Młoteczno z 1 przepompownią oraz Rudłowo z jedną przepompownią.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Usługi wodociągowe poboru, uzdatniania i dostarczania wody do</w:t>
      </w:r>
      <w:r>
        <w:rPr>
          <w:rFonts w:ascii="Times New Roman" w:hAnsi="Times New Roman" w:cs="Calibri" w:cstheme="minorHAnsi"/>
          <w:sz w:val="24"/>
          <w:szCs w:val="24"/>
        </w:rPr>
        <w:t xml:space="preserve"> odbiorców pokrywają obecnie swoim zasięgiem 98,2% ogólnej liczby mieszkańców Gminy Wiejskiej Braniewo. Możliwości produkcyjne wszystkich ujęć i zakup hurtowy wody zapewniają pokrycie zapotrzebowania terenu gminy w wodę dla obecnych i przyszłych odbiorców.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Sieć kanalizacyjna pokrywa swoim zasięgiem część Gminy Wiejskiej Braniewo odprowadzając ścieki od 65,39% ogólnej liczby mieszkańców. Aby zapewnić ciągłość odpr</w:t>
      </w:r>
      <w:r>
        <w:rPr>
          <w:rFonts w:ascii="Times New Roman" w:hAnsi="Times New Roman" w:cs="Calibri" w:cstheme="minorHAnsi"/>
          <w:sz w:val="24"/>
          <w:szCs w:val="24"/>
        </w:rPr>
        <w:t xml:space="preserve">owadzanych ścieków od odbiorców, na terenie gminy prowadzony jest systematyczny monitoring                  i czyszczenie kanałów sanitarnych, na podstawie których wykonywane są oceny stanu technicznego sieci i planowane prace remontowe lub modernizacyjne.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1"/>
          <w:numId w:val="8"/>
        </w:numPr>
        <w:pBdr/>
        <w:spacing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Planowany zakres usług wodociągowo – kanalizacyjnych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W ramach realizacji zadań wynikających z profilu działalności Spółki podstawowymi celami są: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6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poprawa podstawowej technicznej infrastruktury,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6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poszerzenie zakresu korzystania z usług wodociągowych i kanalizacyjnych przez mieszkańców,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6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stała poprawa jakości dostarczanej wody pitnej poprzez ciągły monitoring oraz unowocześnianie technologii jej uzdatniania,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6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zapewnienie niezawodności dostaw wody,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6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poprawa oddziaływania na środowisko naturalne,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6"/>
        </w:numPr>
        <w:pBdr/>
        <w:spacing w:after="16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podniesienie ogólnego standardu i warunków życia społeczności.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Planowany zakres usług obejmuje zadania w zakresie budowy, rozbudowy i modernizacji urządzeń wodociągowych i urządzeń kanalizacyjnych i został opracowany na podstawie: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oceny stanu istniejącego,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potrzeb mieszkańców,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zwiększenia sprzedaży usług w zakresie dostawy wody i odbioru ścieków na terenie gminy,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pozyskiwania nowych odbiorców usług w zakresie dostawy wody i odbioru ścieków,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analiz ekonomiczno – finansowych Spółki,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wymogów krajowego programu oczyszczania ścieków komunalnych w zakresie podłączania nieruchomości do sieci kanalizacyjnej i likwidacji zbiorników bezodpływowych,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analiz możliwości pozyskania zewnętrznych źródeł finansowania,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numPr>
          <w:ilvl w:val="0"/>
          <w:numId w:val="9"/>
        </w:numPr>
        <w:pBdr/>
        <w:spacing w:after="16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przyjętych nowych rozwiązań technicznych i technologicznych mających na celu poprawę procesów technologicznych i zmniejszenia wskaźników kosztotwórczych,        m. in. energochłonności, nieujawnionych wycieków wody do gruntu.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pBdr/>
        <w:spacing w:line="240" w:lineRule="auto"/>
        <w:ind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Jak było wspomniane sieć kanalizacyjna pokrywa swoim zasięgiem część Gminy Wiejskiej Braniewo odprowadzając ścieki od 65,39% ogólnej liczby mieszkańców do t</w:t>
      </w:r>
      <w:r>
        <w:rPr>
          <w:rFonts w:ascii="Times New Roman" w:hAnsi="Times New Roman" w:cs="Calibri" w:cstheme="minorHAnsi"/>
          <w:sz w:val="24"/>
          <w:szCs w:val="24"/>
        </w:rPr>
        <w:t xml:space="preserve">rzech obiektów: oczyszczalni w msc. Braniewo, Lipowina i Gronowo. Dzięki inwestycji polegającej na budowie sieci kanalizacyjnej w Klejnowie procent ogólnej liczby mieszkańców odprowadzających ścieki do wyżej wymienionych obiektów wzrośnie o 1,53% do 66,9%.</w:t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Spółka planuje kontynuację zadań w wyżej wymienionym zakresie.</w:t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Przedsięwzięcia  rozwojowo modernizacyjne w poszczególnych latach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5"/>
        <w:pBdr/>
        <w:spacing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Podstawowym kierunkiem zamierzeń rozwojowo – modernizacyjnych Spółki w zakresie urządzeń wodociągowych jest modernizacja istniejącej sieci oraz modernizacje stacji uzdatniania wody w celu zwiększenia pewn</w:t>
      </w:r>
      <w:r>
        <w:rPr>
          <w:rFonts w:ascii="Times New Roman" w:hAnsi="Times New Roman"/>
          <w:sz w:val="24"/>
          <w:szCs w:val="24"/>
        </w:rPr>
        <w:t xml:space="preserve">ości zaopatrzenia poprzez ograniczenie ilości awarii. W zakresie urządzeń kanalizacyjnych jest to dalsza modernizacja istniejących pompowni ścieków, likwidacja najstarszych obiektów pompowych, budowa sieci kanalizacyjnej, modernizacja oczyszczalni ścieków.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Poszczególne przedsięwzięcia rozwojowo modernizacyjne ujęto w tabeli w punkcie 4                    w rozbiciu na lata 2026 -2029: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poz. I-Urządzenia Wodociągowe: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5"/>
        <w:numPr>
          <w:ilvl w:val="0"/>
          <w:numId w:val="10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MODERNIZACJA UJĘĆ WODY PITNEJ W GRONOWIE I GRONÓWKU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Lokalizacja przedsięwzięcia - Gronowo, Gronówko, Gmina Braniewo.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Ujęcie wody pitnej Gronowo, działka geodezyjna nr 23, obręb Gronowo.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Ujęcie wody pitnej Gronówko, działka geodezyjna nr 12/39, obręb Wola Lipowska.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W ramach zadania przewiduje się wymianę szaf autom</w:t>
      </w:r>
      <w:r>
        <w:rPr>
          <w:rFonts w:ascii="Times New Roman" w:hAnsi="Times New Roman" w:cs="Calibri" w:cstheme="minorHAnsi"/>
          <w:sz w:val="24"/>
          <w:szCs w:val="24"/>
        </w:rPr>
        <w:t xml:space="preserve">atyki i sterowania procesem uzdatniania wody dla ujęć wodnych w miejscowości Gronowo i Gronówko, stworzenie aplikacji oraz wizualizacji procesu uzdatniania z transmisją danych do stacji dyspozytorskiej w siedzibie przedsiębiorstwa w miejscowości Młoteczno.</w:t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poz. II-Urządzenia Kanalizacyjne: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5"/>
        <w:numPr>
          <w:ilvl w:val="0"/>
          <w:numId w:val="10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BUDOWY SIECI KANALIZACJI SANITARNEJ Z PRZYŁĄCZAMI                           W MIEJSCOWOŚCI KLEJNOWO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 w14:paraId="60FA2E31">
      <w:pPr>
        <w:pBdr/>
        <w:spacing w:after="0" w:before="0" w:line="240" w:lineRule="auto"/>
        <w:ind w:firstLine="0" w:left="72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Zadanie obejmuje budowę kanalizacji sanitarnej grawitacyjnej w miejscowości Klejnowo oraz ciśnien</w:t>
      </w:r>
      <w:r>
        <w:rPr>
          <w:rFonts w:ascii="Times New Roman" w:hAnsi="Times New Roman" w:cs="Calibri" w:cstheme="minorHAnsi"/>
          <w:sz w:val="24"/>
          <w:szCs w:val="24"/>
        </w:rPr>
        <w:t xml:space="preserve">iowej wraz z przepompownią ścieków sanitarnych w Klejnowie, pośrednią pompownią ścieków sanitarnych w Podgórzu, z której ścieki kierowane będą do istniejącej ciśnieniowej sieci kanalizacji sanitarnej w Ułowie a następnie do oczyszczalni ścieków w Braniewie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Zakres materiałowy dla zadania: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-budowa kanału sanitarnego grawitacyjnego DN 160 o łącznej długości ok 0,075 km,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-budowa kanału sanitarnego grawitacyjnego DN 200 o łącznej długości ok 0,34 km,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-budowa kolektora tłocznego DN 110 mm o łącznej długości ok 4,36 km,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-budowa 15 szt. studni rewizyjnych,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-budowa 13 szt. studni odpowietrzająco-napowietrzających,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-budowa 2 kompletnych przepompowni ścieków.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numPr>
          <w:ilvl w:val="0"/>
          <w:numId w:val="10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MODERNIZACJA ISTNIEJĄCYCH PRZEPOMPOWNI ŚCIEKÓW SANITARNYCH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 w14:paraId="1E0D068C"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  <w:highlight w:val="none"/>
        </w:rPr>
      </w:r>
      <w:r>
        <w:rPr>
          <w:rFonts w:ascii="Times New Roman" w:hAnsi="Times New Roman" w:cs="Calibri" w:cstheme="minorHAnsi"/>
          <w:sz w:val="24"/>
          <w:szCs w:val="24"/>
          <w:highlight w:val="none"/>
        </w:rPr>
      </w:r>
      <w:r>
        <w:rPr>
          <w:rFonts w:ascii="Times New Roman" w:hAnsi="Times New Roman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theme="minorHAnsi"/>
          <w:sz w:val="24"/>
          <w:szCs w:val="24"/>
          <w:highlight w:val="none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Lokalizacja przedsięwzięcia:</w:t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theme="minorHAnsi"/>
          <w:sz w:val="24"/>
          <w:szCs w:val="24"/>
          <w:highlight w:val="none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 Lipowina, Podleśne, Gronowo, Gmina Braniewo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Przepompownia ścieków Lipowina, działki geodezyjne nr 2/26, obręb Wola Lipowska.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Przepompownia ścieków Podleśne, działka geodezyjna nr 17/38, obręb Pęciszewo.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Przepompownia ścieków Gronowo, działka geodezyjna nr 117, obręb Gronowo.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Przepompownia ścieków Gronowo, działka geodezyjna nr 235/1, obręb Gronowo.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Przepompownia ścieków Gronowo, działka geodezyjna nr 166, obręb Gronowo.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Zakres robót budowlanych: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W ramach zadania przewiduje się demontaż istniejących pomp ściekowych wraz z wymianą na nowe, w tym: wymianę orurowania z rur stalowych DN 50 mm, wymianę prowadnic pomp, montaż konstrukcji stalowych tłocznych pompowni, </w:t>
      </w:r>
      <w:r>
        <w:rPr>
          <w:rFonts w:ascii="Times New Roman" w:hAnsi="Times New Roman" w:cs="Calibri" w:cstheme="minorHAnsi"/>
          <w:sz w:val="24"/>
          <w:szCs w:val="24"/>
        </w:rPr>
        <w:t xml:space="preserve">wymianę klapy włazowej pompowni, wymianę szafy sterowniczej, włączenie pompowni do istniejącego systemu wizualizacji wraz z transmisją danych. Dla każdej pompowni wykonane będą nowe ogrodzenia z furtką wejściową, a teren pompowni utwardzony kostką brukową.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numPr>
          <w:ilvl w:val="0"/>
          <w:numId w:val="10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OCZYSZCZALNIA ŚCIEKÓW W LIPOWINIE - SITOPIASKOWNIK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Lokalizacja przedsięwzięcia: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- Lipowina, Gmina Braniewo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Oczyszczalnia ścieków Lipowina, działka geodezyjna nr 2/26, obręb Wola Lipowska.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Zakres robót budowlanych: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Wymiana szafy automatyki i sterowania procesem oczyszczania ścieków, stworzenie aplikacji do wizualizacji procesów oczyszczania z transmisją danych do stacji dyspozytors</w:t>
      </w:r>
      <w:r>
        <w:rPr>
          <w:rFonts w:ascii="Times New Roman" w:hAnsi="Times New Roman" w:cs="Calibri" w:cstheme="minorHAnsi"/>
          <w:sz w:val="24"/>
          <w:szCs w:val="24"/>
        </w:rPr>
        <w:t xml:space="preserve">kiej                      w siedzibie przedsiębiorstwa w miejscowości Młoteczno. Wymiana istniejącego sita oczyszczania wstępnego na nowoczesny sitopiaskownik do ścieków surowych oddzielający osobno skratki i piasek. Sitopiaskownik SSP15/2 kompletny w wyko</w:t>
      </w:r>
      <w:r>
        <w:rPr>
          <w:rFonts w:ascii="Times New Roman" w:hAnsi="Times New Roman" w:cs="Calibri" w:cstheme="minorHAnsi"/>
          <w:sz w:val="24"/>
          <w:szCs w:val="24"/>
        </w:rPr>
        <w:t xml:space="preserve">naniu z AISI 316L (lub równoważny), z wykonaniem komunikacji Modbus, Profibus z transportem, montażem, rozruchem i szkoleniem obsługi. Wymiana istniejących mieszadeł i dmuchaw na wydajniejsze, oraz montaż tlenomierzy w związku ze zwiększoną ilością dopływa</w:t>
      </w:r>
      <w:r>
        <w:rPr>
          <w:rFonts w:ascii="Times New Roman" w:hAnsi="Times New Roman" w:cs="Calibri" w:cstheme="minorHAnsi"/>
          <w:sz w:val="24"/>
          <w:szCs w:val="24"/>
        </w:rPr>
        <w:t xml:space="preserve">jących ścieków (skanalizowanie okolicznych miejscowości wraz z włączeniem do kanalizacji gminnej, odprowadzanie ścieków do oczyszczalni w Lipowinie). Modernizacja zbiornika buforowego         z wymianą orurowania, wymianą pomp, sterowaniem  i wizualizacją.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numPr>
          <w:ilvl w:val="0"/>
          <w:numId w:val="10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MODERNIZACJA SZAFY AKPIA - OCZYSZCZALNIA ŚCIEKÓW                                W LIPOWINIE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5"/>
        <w:pBdr/>
        <w:spacing w:after="0" w:before="0" w:line="240" w:lineRule="auto"/>
        <w:ind/>
        <w:contextualSpacing w:val="true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Lokalizacja przedsięwzięcia: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Lipowina, Gmina Braniewo - Oczyszczalnia ścieków Lipowina, działka geodezyjna nr 2/26, obręb Wola Lipowska.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Modernizacja szafy AKPiA polegającej na montażu sterownika wraz panelami                                  i oprogramowaniem.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asciiTheme="minorHAnsi" w:hAnsiTheme="minorHAnsi"/>
          <w:b/>
          <w:sz w:val="30"/>
          <w:szCs w:val="30"/>
        </w:rPr>
      </w:r>
      <w:r>
        <w:rPr>
          <w:rFonts w:ascii="Times New Roman" w:hAnsi="Times New Roman"/>
          <w:b/>
          <w:sz w:val="30"/>
          <w:szCs w:val="30"/>
        </w:rPr>
      </w:r>
      <w:r>
        <w:rPr>
          <w:rFonts w:ascii="Times New Roman" w:hAnsi="Times New Roman"/>
          <w:b/>
          <w:sz w:val="30"/>
          <w:szCs w:val="30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Przedsięwzięcia racjonalizujące zużycie wody oraz wprowadzanie ścieków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  <w:t xml:space="preserve">Spółka wykonuje szereg zadań służących racjonalnemu zużyciu wody i minimalizacji strat wody.    W zakresie działań związanych z racjonalizacją zużycia wody i wprowadzania ścieków do odbiorników będą i są realizowane następujące zadania: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rozbudowa systemu monitoringu i wizualizacji w celu sprawniejszego zarządzania infrastrukturą wod..-kan.;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rozwój gospodarki wodomierzowej pod katem ograniczenia strat wody;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stały monitoring zużycia wody;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utrzymanie jakości wody odpowiadającej normom;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likwidacja nielegalnych punktów poboru wody i zrzutu ścieków do kanalizacji;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modernizacja przepompowni ścieków wraz z monitoringiem pracy urządzeń;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okresowe przeglądy przepompowni ścieków;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numPr>
          <w:ilvl w:val="0"/>
          <w:numId w:val="10"/>
        </w:numPr>
        <w:pBdr/>
        <w:spacing w:after="0" w:before="0"/>
        <w:ind w:right="0" w:hanging="360" w:left="720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kontrola podłączeń do kanalizacji sanitarnej wód opadowych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Nakłady inwestycyjne w poszczególnych latach</w:t>
        <w:tab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97"/>
        <w:pBdr/>
        <w:spacing/>
        <w:ind w:right="0" w:firstLine="0"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asciiTheme="minorHAnsi" w:hAnsiTheme="minorHAnsi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jc w:val="center"/>
        <w:tblInd w:w="0" w:type="dxa"/>
        <w:tblW w:w="9074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pPr w:horzAnchor="margin" w:tblpXSpec="center" w:vertAnchor="text" w:tblpY="29" w:leftFromText="141" w:topFromText="0" w:rightFromText="141" w:bottomFromText="0"/>
        <w:tblLook w:val="04A0" w:firstRow="1" w:lastRow="0" w:firstColumn="1" w:lastColumn="0" w:noHBand="0" w:noVBand="1"/>
      </w:tblPr>
      <w:tblGrid>
        <w:gridCol w:w="427"/>
        <w:gridCol w:w="2348"/>
        <w:gridCol w:w="1425"/>
        <w:gridCol w:w="900"/>
        <w:gridCol w:w="855"/>
        <w:gridCol w:w="855"/>
        <w:gridCol w:w="1410"/>
        <w:gridCol w:w="854"/>
      </w:tblGrid>
      <w:tr>
        <w:trPr>
          <w:trHeight w:val="7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  <w:vMerge w:val="restart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L.p.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  <w:vMerge w:val="restart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Nazwa zadania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Planowane nakłady     (w złotych netto)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Merge w:val="restart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Źródła finansowania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  <w:vMerge w:val="restart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Uwagi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4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  <w:vMerge w:val="continue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Calibri" w:hAnsi="Calibri"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  <w:vMerge w:val="continue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Calibri" w:hAnsi="Calibri"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2026 r.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2027 r.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2028 r.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2029 r.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Merge w:val="continue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Calibri" w:hAnsi="Calibri"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  <w:vMerge w:val="continue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Calibri" w:hAnsi="Calibri"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  <w:r>
              <w:rPr>
                <w:rFonts w:ascii="Calibri" w:hAnsi="Calibri" w:eastAsia="Times New Roman" w:cs="Times New Roman"/>
              </w:rPr>
            </w:r>
          </w:p>
        </w:tc>
      </w:tr>
      <w:tr>
        <w:trPr>
          <w:trHeight w:val="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Urządzenia wodociągowe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8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modernizacja ujęć wody pitnej w Gronowie i Gronówku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254.000,00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Dofinansowanie z KPO i ZO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Urządzenia kanalizacyjne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8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budowy sieci kanalizacji sanitarnej z przyłączami w miejscowości Klejnowo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1.083.000,00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Dofinansowanie z KPO i ZO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8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modernizacja istniejących przepompowni ścieków sanitarnych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512.000,00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Dofinansowanie z KPO i ZO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8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oczyszczalnia ścieków w Lipowinie - sitopiaskownik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545.000,00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Dofinansowanie z KPO i ZO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8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7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8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modernizacja szafy AKPiA - oczyszczalnia ścieków w Lipowinie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50.000,00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</w:tcPr>
          <w:p>
            <w:pPr>
              <w:pStyle w:val="726"/>
              <w:pBdr/>
              <w:tabs>
                <w:tab w:val="clear" w:leader="none" w:pos="708"/>
                <w:tab w:val="left" w:leader="none" w:pos="4680"/>
              </w:tabs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Środki własne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</w:tcPr>
          <w:p>
            <w:pPr>
              <w:pStyle w:val="726"/>
              <w:pBdr/>
              <w:spacing w:after="0" w:before="0"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726"/>
        <w:pBdr/>
        <w:spacing/>
        <w:ind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26"/>
        <w:pBdr/>
        <w:spacing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Sposoby finansowania planowanych inwestycji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W latach 2026-2029 na inwestycje wodociągowo – kanalizacyjne przewiduje się wydatkować kwotę 2.444.000,00zł. Szczegółowy sposób finansowania poszczególnych zadań inwestycyjnych jest przedstawiony w tabeli w pkt 4.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bCs/>
          <w:sz w:val="24"/>
          <w:szCs w:val="24"/>
        </w:rPr>
        <w:t xml:space="preserve">Planowany sposób realizacji krajowego programu oczyszczania ścieków komunalnych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26"/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Krajowy program oczyszczania ścieków komunalnych (KPOŚK) i jego aktualizacje (AKPOŚK) służą do określenia stopnia wdrażania Dyrektywy 91/271/EWG z dnia 21 maja 1991 r.</w:t>
      </w:r>
      <w:r>
        <w:rPr>
          <w:rFonts w:ascii="Times New Roman" w:hAnsi="Times New Roman"/>
          <w:sz w:val="24"/>
          <w:szCs w:val="24"/>
        </w:rPr>
        <w:t xml:space="preserve"> dotyczącej oczyszczania ścieków komunalnych (Dz. Urz. WE L 135/40 z 30.05.1991). Z kolei przepisy Dyrektywy do porządku prawnego przenosi szereg aktów prawnych, a przede wszystkim ustawa  z dnia 20 lipca 2017 r. – Prawo wodne (Dz. U. z 2021 r. poz. 2233 z</w:t>
      </w:r>
      <w:r>
        <w:rPr>
          <w:rFonts w:ascii="Times New Roman" w:hAnsi="Times New Roman"/>
          <w:sz w:val="24"/>
          <w:szCs w:val="24"/>
        </w:rPr>
        <w:t xml:space="preserve">e</w:t>
      </w:r>
      <w:r>
        <w:rPr>
          <w:rFonts w:ascii="Times New Roman" w:hAnsi="Times New Roman"/>
          <w:sz w:val="24"/>
          <w:szCs w:val="24"/>
        </w:rPr>
        <w:t xml:space="preserve"> zm.), która określa warunki jakie powinny spełniać aglomeracje wyznaczone na podstawie art. 87 ust.1 tej ustawy.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Zgodnie z obowiązującymi przepisami aglomeracja miasta Braniewa, która została wyznaczona na podstawie uchwały </w:t>
      </w:r>
      <w:r>
        <w:rPr>
          <w:rFonts w:ascii="Times New Roman" w:hAnsi="Times New Roman" w:cs="Calibri" w:cstheme="minorHAnsi"/>
          <w:b/>
          <w:bCs/>
          <w:sz w:val="24"/>
          <w:szCs w:val="24"/>
        </w:rPr>
        <w:t xml:space="preserve">NR XXII/215/2020 RADY MIEJSKIEJ W BRANIEWIE </w:t>
      </w:r>
      <w:r>
        <w:rPr>
          <w:rFonts w:ascii="Times New Roman" w:hAnsi="Times New Roman" w:cs="Calibri" w:cstheme="minorHAnsi"/>
          <w:sz w:val="24"/>
          <w:szCs w:val="24"/>
        </w:rPr>
        <w:t xml:space="preserve">z dnia 18 grudnia 2020 r.   w sprawie wyznaczenia obszaru i granic aglomeracji Braniewo, w zasięg której zalicza się również część terenu Gminy Wiejskiej Braniewo, powinna spełniać następujące warunki: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numPr>
          <w:ilvl w:val="0"/>
          <w:numId w:val="11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b/>
          <w:bCs/>
          <w:sz w:val="24"/>
          <w:szCs w:val="24"/>
        </w:rPr>
        <w:t xml:space="preserve">Warunek I (art. 3 Dyrektywy) – procent skanalizowania w aglomeracji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Wskaźnik skanalizowania w aglomeracji wynosi 99,68%. Warunek jest spełniony, ponieważ minimalny procent skanalizowania aglomeracji to 98%.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numPr>
          <w:ilvl w:val="0"/>
          <w:numId w:val="11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b/>
          <w:bCs/>
          <w:sz w:val="24"/>
          <w:szCs w:val="24"/>
        </w:rPr>
        <w:t xml:space="preserve">Warunek II (art. 10 Dyrektywy) – wydajność oczyszczalni w aglomeracji ( wyrażona           w RLM)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Projektowana wydajność oczyszczalni ścieków wyrażona w RLM wynosi 100000 i jest większa od RLM aglomeracji wynoszącej 39240 RLM. Warunek jest spełniony.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95"/>
        <w:numPr>
          <w:ilvl w:val="0"/>
          <w:numId w:val="11"/>
        </w:numPr>
        <w:pBdr/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Warunek III (art.4 i art. 5 Dyrektywy) – standardy oczyszczania ścieków.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Oczyszczalnia ścieków spełnia wymagania określone w pozwoleniu wodnoprawnym oraz spełnia wymagania określone w rozporządzeniu Ministra Gospodarki Morskiej i Żeglugi Śródlądowej z dnia 12 lipca 2019 r. w sp</w:t>
      </w:r>
      <w:r>
        <w:rPr>
          <w:rFonts w:ascii="Times New Roman" w:hAnsi="Times New Roman" w:cs="Calibri" w:cstheme="minorHAnsi"/>
          <w:sz w:val="24"/>
          <w:szCs w:val="24"/>
        </w:rPr>
        <w:t xml:space="preserve">rawie substancji szczególnie szkodliwych dla środowiska wodnego oraz warunków, jakie należy spełnić przy wprowadzaniu do wód lub ziemi ścieków, a także przy odprowadzaniu wód opadowych lub roztopowych do wód lub do urządzeń wodnych. Warunek jest spełniony.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  <w:r>
        <w:rPr>
          <w:rFonts w:ascii="Times New Roman" w:hAnsi="Times New Roman" w:cs="Calibri" w:cstheme="minorHAnsi"/>
          <w:sz w:val="24"/>
          <w:szCs w:val="24"/>
        </w:rPr>
      </w:r>
    </w:p>
    <w:p>
      <w:pPr>
        <w:pStyle w:val="726"/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cs="Calibri" w:cstheme="minorHAnsi"/>
          <w:sz w:val="24"/>
          <w:szCs w:val="24"/>
        </w:rPr>
        <w:t xml:space="preserve">Należy podkreślić iż ścieki z części terenu Gminy Wiejskiej, odprowadzane do aglomeracji, odprowadzane są zbiorczym systemem kanalizacyjnym do oczyszczalni ścieków miasta Braniewa. W związku z tym warunki przedstawione w pkt b</w:t>
      </w:r>
      <w:r>
        <w:rPr>
          <w:rFonts w:ascii="Times New Roman" w:hAnsi="Times New Roman" w:cs="Calibri" w:cstheme="minorHAnsi"/>
          <w:sz w:val="24"/>
          <w:szCs w:val="24"/>
        </w:rPr>
        <w:t xml:space="preserve">) i c) pozostają do zrealizowania po stronie miasta Braniewa, natomiast po stronie Gminy Wiejskiej Braniewo pozostaje wyposażenie obszaru aglomeracyjnego w zbiorcze sieci kanalizacyjne ( pkt a) co zostało spełnione (w zakresie terenu objętego aglomeracją).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26"/>
        <w:pBdr/>
        <w:spacing w:after="0" w:beforeAutospacing="1" w:line="240" w:lineRule="auto"/>
        <w:ind w:right="0" w:hanging="142" w:left="467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14:ligatures w14:val="none"/>
        </w:rPr>
      </w:r>
    </w:p>
    <w:p w14:paraId="031A7F78"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53606FCB"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32277FD">
      <w:pPr>
        <w:pBdr/>
        <w:tabs>
          <w:tab w:val="left" w:leader="none" w:pos="7195"/>
        </w:tabs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600" w:right="1417" w:bottom="1418" w:left="141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Microsoft YaHei">
    <w:panose1 w:val="020B0503020204020204"/>
  </w:font>
  <w:font w:name="Wingdings">
    <w:panose1 w:val="05000000000000000000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1.%2"/>
      <w:numFmt w:val="decimal"/>
      <w:pPr>
        <w:pBdr/>
        <w:tabs>
          <w:tab w:val="num" w:leader="none" w:pos="0"/>
        </w:tabs>
        <w:spacing/>
        <w:ind w:hanging="720" w:left="1440"/>
      </w:pPr>
      <w:rPr>
        <w:b w:val="0"/>
        <w:color w:val="auto"/>
        <w:sz w:val="22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1800"/>
      </w:pPr>
      <w:rPr>
        <w:b w:val="0"/>
        <w:color w:val="ee0000"/>
        <w:sz w:val="22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0"/>
        </w:tabs>
        <w:spacing/>
        <w:ind w:hanging="1080" w:left="2520"/>
      </w:pPr>
      <w:rPr>
        <w:b w:val="0"/>
        <w:color w:val="ee0000"/>
        <w:sz w:val="22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80" w:left="2880"/>
      </w:pPr>
      <w:rPr>
        <w:b w:val="0"/>
        <w:color w:val="ee0000"/>
        <w:sz w:val="22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440" w:left="3600"/>
      </w:pPr>
      <w:rPr>
        <w:b w:val="0"/>
        <w:color w:val="ee0000"/>
        <w:sz w:val="22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800" w:left="4320"/>
      </w:pPr>
      <w:rPr>
        <w:b w:val="0"/>
        <w:color w:val="ee0000"/>
        <w:sz w:val="22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800" w:left="4680"/>
      </w:pPr>
      <w:rPr>
        <w:b w:val="0"/>
        <w:color w:val="ee0000"/>
        <w:sz w:val="22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2160" w:left="5400"/>
      </w:pPr>
      <w:rPr>
        <w:b w:val="0"/>
        <w:color w:val="ee0000"/>
        <w:sz w:val="22"/>
      </w:rPr>
      <w:start w:val="1"/>
      <w:suff w:val="tab"/>
    </w:lvl>
  </w:abstractNum>
  <w:abstractNum w:abstractNumId="1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65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85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205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925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45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65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85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805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525"/>
      </w:pPr>
      <w:rPr/>
      <w:start w:val="1"/>
      <w:suff w:val="tab"/>
    </w:lvl>
  </w:abstractNum>
  <w:abstractNum w:abstractNumId="2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84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840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Symbol" w:hAnsi="Symbol" w:cs="Symbol"/>
        <w:sz w:val="24"/>
        <w:szCs w:val="24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84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8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50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22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94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6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8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10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82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540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068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508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228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668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388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828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1.%2"/>
      <w:numFmt w:val="decimal"/>
      <w:pPr>
        <w:pBdr/>
        <w:tabs>
          <w:tab w:val="num" w:leader="none" w:pos="0"/>
        </w:tabs>
        <w:spacing/>
        <w:ind w:hanging="720" w:left="1080"/>
      </w:pPr>
      <w:rPr/>
      <w:start w:val="2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1080"/>
      </w:pPr>
      <w:rPr/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0"/>
        </w:tabs>
        <w:spacing/>
        <w:ind w:hanging="1080" w:left="1440"/>
      </w:pPr>
      <w:rPr/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80" w:left="1440"/>
      </w:pPr>
      <w:rPr/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440" w:left="1800"/>
      </w:pPr>
      <w:rPr/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800" w:left="2160"/>
      </w:pPr>
      <w:rPr/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800" w:left="2160"/>
      </w:pPr>
      <w:rPr/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2160" w:left="2520"/>
      </w:pPr>
      <w:rPr/>
      <w:start w:val="1"/>
      <w:suff w:val="tab"/>
    </w:lvl>
  </w:abstractNum>
  <w:abstractNum w:abstractNumId="8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0">
    <w:lvl w:ilvl="0">
      <w:isLgl w:val="tru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2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25" w:default="1">
    <w:name w:val="No List"/>
    <w:uiPriority w:val="99"/>
    <w:semiHidden/>
    <w:unhideWhenUsed/>
    <w:pPr>
      <w:pBdr/>
      <w:spacing/>
      <w:ind/>
    </w:pPr>
  </w:style>
  <w:style w:type="paragraph" w:styleId="726" w:default="1">
    <w:name w:val="Normal"/>
    <w:qFormat/>
    <w:pPr>
      <w:widowControl w:val="true"/>
      <w:pBdr/>
      <w:bidi w:val="false"/>
      <w:spacing w:after="160" w:afterAutospacing="0" w:before="0" w:beforeAutospacing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  <w14:ligatures w14:val="standardContextual"/>
    </w:rPr>
  </w:style>
  <w:style w:type="paragraph" w:styleId="727">
    <w:name w:val="Heading 1"/>
    <w:basedOn w:val="726"/>
    <w:next w:val="726"/>
    <w:link w:val="7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28">
    <w:name w:val="Heading 2"/>
    <w:basedOn w:val="726"/>
    <w:next w:val="726"/>
    <w:link w:val="7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29">
    <w:name w:val="Heading 3"/>
    <w:basedOn w:val="726"/>
    <w:next w:val="726"/>
    <w:link w:val="7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30">
    <w:name w:val="Heading 4"/>
    <w:basedOn w:val="726"/>
    <w:next w:val="726"/>
    <w:link w:val="7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31">
    <w:name w:val="Heading 5"/>
    <w:basedOn w:val="726"/>
    <w:next w:val="726"/>
    <w:link w:val="7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32">
    <w:name w:val="Heading 6"/>
    <w:basedOn w:val="726"/>
    <w:next w:val="726"/>
    <w:link w:val="7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33">
    <w:name w:val="Heading 7"/>
    <w:basedOn w:val="726"/>
    <w:next w:val="726"/>
    <w:link w:val="7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34">
    <w:name w:val="Heading 8"/>
    <w:basedOn w:val="726"/>
    <w:next w:val="726"/>
    <w:link w:val="743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35">
    <w:name w:val="Heading 9"/>
    <w:basedOn w:val="726"/>
    <w:next w:val="726"/>
    <w:link w:val="744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36">
    <w:name w:val="Heading 1 Char"/>
    <w:basedOn w:val="76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37">
    <w:name w:val="Heading 2 Char"/>
    <w:basedOn w:val="76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38">
    <w:name w:val="Heading 3 Char"/>
    <w:basedOn w:val="76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39">
    <w:name w:val="Heading 4 Char"/>
    <w:basedOn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0">
    <w:name w:val="Heading 5 Char"/>
    <w:basedOn w:val="76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41">
    <w:name w:val="Heading 6 Char"/>
    <w:basedOn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42">
    <w:name w:val="Heading 7 Char"/>
    <w:basedOn w:val="767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43">
    <w:name w:val="Heading 8 Char"/>
    <w:basedOn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4">
    <w:name w:val="Heading 9 Char"/>
    <w:basedOn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5">
    <w:name w:val="Title Char"/>
    <w:basedOn w:val="767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46">
    <w:name w:val="Subtitle Char"/>
    <w:basedOn w:val="767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47">
    <w:name w:val="Quote Char"/>
    <w:basedOn w:val="767"/>
    <w:link w:val="775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48">
    <w:name w:val="Intense Emphasis"/>
    <w:basedOn w:val="76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49">
    <w:name w:val="Intense Quote Char"/>
    <w:basedOn w:val="767"/>
    <w:link w:val="776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50">
    <w:name w:val="Intense Reference"/>
    <w:basedOn w:val="76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1">
    <w:name w:val="Subtle Emphasis"/>
    <w:basedOn w:val="76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2">
    <w:name w:val="Emphasis"/>
    <w:basedOn w:val="767"/>
    <w:uiPriority w:val="20"/>
    <w:qFormat/>
    <w:pPr>
      <w:pBdr/>
      <w:spacing/>
      <w:ind/>
    </w:pPr>
    <w:rPr>
      <w:i/>
      <w:iCs/>
    </w:rPr>
  </w:style>
  <w:style w:type="character" w:styleId="753">
    <w:name w:val="Strong"/>
    <w:basedOn w:val="767"/>
    <w:uiPriority w:val="22"/>
    <w:qFormat/>
    <w:pPr>
      <w:pBdr/>
      <w:spacing/>
      <w:ind/>
    </w:pPr>
    <w:rPr>
      <w:b/>
      <w:bCs/>
    </w:rPr>
  </w:style>
  <w:style w:type="character" w:styleId="754">
    <w:name w:val="Subtle Reference"/>
    <w:basedOn w:val="76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5">
    <w:name w:val="Book Title"/>
    <w:basedOn w:val="76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56">
    <w:name w:val="Header Char"/>
    <w:basedOn w:val="767"/>
    <w:uiPriority w:val="99"/>
    <w:qFormat/>
    <w:pPr>
      <w:pBdr/>
      <w:spacing/>
      <w:ind/>
    </w:pPr>
  </w:style>
  <w:style w:type="character" w:styleId="757">
    <w:name w:val="Footer Char"/>
    <w:basedOn w:val="767"/>
    <w:uiPriority w:val="99"/>
    <w:qFormat/>
    <w:pPr>
      <w:pBdr/>
      <w:spacing/>
      <w:ind/>
    </w:pPr>
  </w:style>
  <w:style w:type="character" w:styleId="758">
    <w:name w:val="Footnote Text Char"/>
    <w:basedOn w:val="76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59">
    <w:name w:val="Znaki przypisów dolnych"/>
    <w:basedOn w:val="76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60">
    <w:name w:val="footnote reference"/>
    <w:pPr>
      <w:pBdr/>
      <w:spacing/>
      <w:ind/>
    </w:pPr>
    <w:rPr>
      <w:vertAlign w:val="superscript"/>
    </w:rPr>
  </w:style>
  <w:style w:type="character" w:styleId="761">
    <w:name w:val="Endnote Text Char"/>
    <w:basedOn w:val="76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2">
    <w:name w:val="Znaki przypisów końcowych"/>
    <w:basedOn w:val="76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63">
    <w:name w:val="endnote reference"/>
    <w:pPr>
      <w:pBdr/>
      <w:spacing/>
      <w:ind/>
    </w:pPr>
    <w:rPr>
      <w:vertAlign w:val="superscript"/>
    </w:rPr>
  </w:style>
  <w:style w:type="character" w:styleId="764">
    <w:name w:val="Hyperlink"/>
    <w:basedOn w:val="76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65">
    <w:name w:val="FollowedHyperlink"/>
    <w:basedOn w:val="76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66">
    <w:name w:val="Placeholder Text"/>
    <w:basedOn w:val="767"/>
    <w:uiPriority w:val="99"/>
    <w:semiHidden/>
    <w:qFormat/>
    <w:pPr>
      <w:pBdr/>
      <w:spacing/>
      <w:ind/>
    </w:pPr>
    <w:rPr>
      <w:color w:val="666666"/>
    </w:rPr>
  </w:style>
  <w:style w:type="character" w:styleId="767" w:default="1">
    <w:name w:val="Default Paragraph Font"/>
    <w:uiPriority w:val="1"/>
    <w:semiHidden/>
    <w:unhideWhenUsed/>
    <w:qFormat/>
    <w:pPr>
      <w:pBdr/>
      <w:spacing/>
      <w:ind/>
    </w:pPr>
  </w:style>
  <w:style w:type="paragraph" w:styleId="768">
    <w:name w:val="Nagłówek"/>
    <w:basedOn w:val="726"/>
    <w:next w:val="769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69">
    <w:name w:val="Body Text"/>
    <w:basedOn w:val="726"/>
    <w:pPr>
      <w:pBdr/>
      <w:spacing w:after="140" w:before="0" w:line="276" w:lineRule="auto"/>
      <w:ind/>
    </w:pPr>
  </w:style>
  <w:style w:type="paragraph" w:styleId="770">
    <w:name w:val="List"/>
    <w:basedOn w:val="769"/>
    <w:pPr>
      <w:pBdr/>
      <w:spacing/>
      <w:ind/>
    </w:pPr>
    <w:rPr>
      <w:rFonts w:cs="Arial"/>
    </w:rPr>
  </w:style>
  <w:style w:type="paragraph" w:styleId="771">
    <w:name w:val="Caption"/>
    <w:basedOn w:val="726"/>
    <w:next w:val="726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772">
    <w:name w:val="Indeks"/>
    <w:basedOn w:val="726"/>
    <w:qFormat/>
    <w:pPr>
      <w:suppressLineNumbers w:val="true"/>
      <w:pBdr/>
      <w:spacing/>
      <w:ind/>
    </w:pPr>
    <w:rPr>
      <w:rFonts w:cs="Arial"/>
    </w:rPr>
  </w:style>
  <w:style w:type="paragraph" w:styleId="773">
    <w:name w:val="Title"/>
    <w:basedOn w:val="726"/>
    <w:next w:val="726"/>
    <w:link w:val="745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74">
    <w:name w:val="Subtitle"/>
    <w:basedOn w:val="726"/>
    <w:next w:val="726"/>
    <w:link w:val="746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75">
    <w:name w:val="Quote"/>
    <w:basedOn w:val="726"/>
    <w:next w:val="726"/>
    <w:link w:val="747"/>
    <w:uiPriority w:val="29"/>
    <w:qFormat/>
    <w:pPr>
      <w:pBdr/>
      <w:spacing w:after="160" w:before="160"/>
      <w:ind/>
      <w:jc w:val="center"/>
    </w:pPr>
    <w:rPr>
      <w:i/>
      <w:iCs/>
      <w:color w:val="404040" w:themeColor="text1" w:themeTint="BF"/>
    </w:rPr>
  </w:style>
  <w:style w:type="paragraph" w:styleId="776">
    <w:name w:val="Intense Quote"/>
    <w:basedOn w:val="726"/>
    <w:next w:val="726"/>
    <w:link w:val="74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77">
    <w:name w:val="No Spacing"/>
    <w:basedOn w:val="726"/>
    <w:uiPriority w:val="1"/>
    <w:qFormat/>
    <w:pPr>
      <w:pBdr/>
      <w:spacing w:after="0" w:before="0" w:line="240" w:lineRule="auto"/>
      <w:ind/>
    </w:pPr>
  </w:style>
  <w:style w:type="paragraph" w:styleId="778">
    <w:name w:val="Główka i stopka"/>
    <w:basedOn w:val="726"/>
    <w:qFormat/>
    <w:pPr>
      <w:pBdr/>
      <w:spacing/>
      <w:ind/>
    </w:pPr>
  </w:style>
  <w:style w:type="paragraph" w:styleId="779">
    <w:name w:val="Header"/>
    <w:basedOn w:val="726"/>
    <w:link w:val="756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80">
    <w:name w:val="Footer"/>
    <w:basedOn w:val="726"/>
    <w:link w:val="757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81">
    <w:name w:val="footnote text"/>
    <w:basedOn w:val="726"/>
    <w:link w:val="75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82">
    <w:name w:val="endnote text"/>
    <w:basedOn w:val="726"/>
    <w:link w:val="761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83">
    <w:name w:val="toc 1"/>
    <w:basedOn w:val="726"/>
    <w:next w:val="726"/>
    <w:uiPriority w:val="39"/>
    <w:unhideWhenUsed/>
    <w:pPr>
      <w:pBdr/>
      <w:spacing w:after="100" w:before="0"/>
      <w:ind/>
    </w:pPr>
  </w:style>
  <w:style w:type="paragraph" w:styleId="784">
    <w:name w:val="toc 2"/>
    <w:basedOn w:val="726"/>
    <w:next w:val="726"/>
    <w:uiPriority w:val="39"/>
    <w:unhideWhenUsed/>
    <w:pPr>
      <w:pBdr/>
      <w:spacing w:after="100" w:before="0"/>
      <w:ind w:left="220"/>
    </w:pPr>
  </w:style>
  <w:style w:type="paragraph" w:styleId="785">
    <w:name w:val="toc 3"/>
    <w:basedOn w:val="726"/>
    <w:next w:val="726"/>
    <w:uiPriority w:val="39"/>
    <w:unhideWhenUsed/>
    <w:pPr>
      <w:pBdr/>
      <w:spacing w:after="100" w:before="0"/>
      <w:ind w:left="440"/>
    </w:pPr>
  </w:style>
  <w:style w:type="paragraph" w:styleId="786">
    <w:name w:val="toc 4"/>
    <w:basedOn w:val="726"/>
    <w:next w:val="726"/>
    <w:uiPriority w:val="39"/>
    <w:unhideWhenUsed/>
    <w:pPr>
      <w:pBdr/>
      <w:spacing w:after="100" w:before="0"/>
      <w:ind w:left="660"/>
    </w:pPr>
  </w:style>
  <w:style w:type="paragraph" w:styleId="787">
    <w:name w:val="toc 5"/>
    <w:basedOn w:val="726"/>
    <w:next w:val="726"/>
    <w:uiPriority w:val="39"/>
    <w:unhideWhenUsed/>
    <w:pPr>
      <w:pBdr/>
      <w:spacing w:after="100" w:before="0"/>
      <w:ind w:left="880"/>
    </w:pPr>
  </w:style>
  <w:style w:type="paragraph" w:styleId="788">
    <w:name w:val="toc 6"/>
    <w:basedOn w:val="726"/>
    <w:next w:val="726"/>
    <w:uiPriority w:val="39"/>
    <w:unhideWhenUsed/>
    <w:pPr>
      <w:pBdr/>
      <w:spacing w:after="100" w:before="0"/>
      <w:ind w:left="1100"/>
    </w:pPr>
  </w:style>
  <w:style w:type="paragraph" w:styleId="789">
    <w:name w:val="toc 7"/>
    <w:basedOn w:val="726"/>
    <w:next w:val="726"/>
    <w:uiPriority w:val="39"/>
    <w:unhideWhenUsed/>
    <w:pPr>
      <w:pBdr/>
      <w:spacing w:after="100" w:before="0"/>
      <w:ind w:left="1320"/>
    </w:pPr>
  </w:style>
  <w:style w:type="paragraph" w:styleId="790">
    <w:name w:val="toc 8"/>
    <w:basedOn w:val="726"/>
    <w:next w:val="726"/>
    <w:uiPriority w:val="39"/>
    <w:unhideWhenUsed/>
    <w:pPr>
      <w:pBdr/>
      <w:spacing w:after="100" w:before="0"/>
      <w:ind w:left="1540"/>
    </w:pPr>
  </w:style>
  <w:style w:type="paragraph" w:styleId="791">
    <w:name w:val="toc 9"/>
    <w:basedOn w:val="726"/>
    <w:next w:val="726"/>
    <w:uiPriority w:val="39"/>
    <w:unhideWhenUsed/>
    <w:pPr>
      <w:pBdr/>
      <w:spacing w:after="100" w:before="0"/>
      <w:ind w:left="1760"/>
    </w:pPr>
  </w:style>
  <w:style w:type="paragraph" w:styleId="792">
    <w:name w:val="index heading"/>
    <w:basedOn w:val="768"/>
    <w:pPr>
      <w:pBdr/>
      <w:spacing/>
      <w:ind/>
    </w:pPr>
  </w:style>
  <w:style w:type="paragraph" w:styleId="793">
    <w:name w:val="TOC Heading"/>
    <w:uiPriority w:val="39"/>
    <w:unhideWhenUsed/>
    <w:qFormat/>
    <w:pPr>
      <w:widowControl w:val="true"/>
      <w:pBdr/>
      <w:bidi w:val="false"/>
      <w:spacing w:after="160" w:afterAutospacing="0" w:before="0" w:beforeAutospacing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  <w14:ligatures w14:val="standardContextual"/>
    </w:rPr>
  </w:style>
  <w:style w:type="paragraph" w:styleId="794">
    <w:name w:val="table of figures"/>
    <w:basedOn w:val="726"/>
    <w:next w:val="726"/>
    <w:uiPriority w:val="99"/>
    <w:unhideWhenUsed/>
    <w:pPr>
      <w:pBdr/>
      <w:spacing w:after="0" w:afterAutospacing="0" w:before="0"/>
      <w:ind/>
    </w:pPr>
  </w:style>
  <w:style w:type="paragraph" w:styleId="795">
    <w:name w:val="List Paragraph"/>
    <w:basedOn w:val="726"/>
    <w:uiPriority w:val="34"/>
    <w:qFormat/>
    <w:pPr>
      <w:pBdr/>
      <w:spacing w:after="160" w:before="0"/>
      <w:ind w:left="720"/>
      <w:contextualSpacing w:val="true"/>
    </w:pPr>
  </w:style>
  <w:style w:type="paragraph" w:styleId="796" w:customStyle="1">
    <w:name w:val="Default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0" w:left="0"/>
      <w:jc w:val="left"/>
    </w:pPr>
    <w:rPr>
      <w:rFonts w:ascii="Arial" w:hAnsi="Arial" w:eastAsia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vertAlign w:val="baseline"/>
      <w:lang w:val="pl-PL" w:eastAsia="pl-PL" w:bidi="ar-SA"/>
      <w14:ligatures w14:val="none"/>
    </w:rPr>
  </w:style>
  <w:style w:type="paragraph" w:styleId="797" w:customStyle="1">
    <w:name w:val="Body Text Indent"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0" w:left="36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u w:val="none"/>
      <w:vertAlign w:val="baseline"/>
      <w:lang w:val="pl-PL" w:eastAsia="pl-PL" w:bidi="ar-SA"/>
      <w14:ligatures w14:val="none"/>
    </w:rPr>
  </w:style>
  <w:style w:type="paragraph" w:styleId="798">
    <w:name w:val="Zawartość ramki"/>
    <w:basedOn w:val="726"/>
    <w:qFormat/>
    <w:pPr>
      <w:pBdr/>
      <w:spacing/>
      <w:ind/>
    </w:pPr>
  </w:style>
  <w:style w:type="numbering" w:styleId="799">
    <w:name w:val="Bez listy"/>
    <w:uiPriority w:val="99"/>
    <w:semiHidden/>
    <w:unhideWhenUsed/>
    <w:qFormat/>
    <w:pPr>
      <w:pBdr/>
      <w:spacing/>
      <w:ind/>
    </w:pPr>
  </w:style>
  <w:style w:type="table" w:styleId="800">
    <w:name w:val="Table Grid"/>
    <w:basedOn w:val="92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Table Grid Light"/>
    <w:basedOn w:val="92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Plain Table 1"/>
    <w:basedOn w:val="92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Plain Table 2"/>
    <w:basedOn w:val="92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Plain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1 Light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1 Light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2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2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3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3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 - Accent 1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 - Accent 2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4 - Accent 3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4 - Accent 4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 - Accent 5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6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5 Dark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5 Dark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6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6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7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7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1 Light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1 Light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2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3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3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4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4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5 Dark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6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6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7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7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ned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ned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ned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ned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&amp; Lined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&amp; Lined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&amp; Lined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&amp; Lined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Drozdowski</dc:creator>
  <dc:description/>
  <dc:language>pl-PL</dc:language>
  <cp:revision>27</cp:revision>
  <dcterms:created xsi:type="dcterms:W3CDTF">2024-08-07T05:37:00Z</dcterms:created>
  <dcterms:modified xsi:type="dcterms:W3CDTF">2026-06-25T12:09:37Z</dcterms:modified>
</cp:coreProperties>
</file>