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96"/>
        <w:pBdr/>
        <w:spacing w:after="0" w:before="0" w:line="259" w:lineRule="auto"/>
        <w:ind/>
        <w:jc w:val="left"/>
        <w:rPr>
          <w:rFonts w:ascii="Times New Roman" w:hAnsi="Times New Roman" w:cs="Times New Roman"/>
          <w:b/>
          <w:color w:val="ff3333"/>
          <w:sz w:val="22"/>
          <w:szCs w:val="24"/>
        </w:rPr>
      </w:pPr>
      <w:r>
        <w:rPr>
          <w:rFonts w:ascii="Times New Roman" w:hAnsi="Times New Roman" w:cs="Times New Roman"/>
          <w:b/>
          <w:color w:val="ff3333"/>
          <w:sz w:val="22"/>
          <w:szCs w:val="24"/>
        </w:rPr>
        <w:t xml:space="preserve">RADA GMINY</w:t>
      </w:r>
      <w:r>
        <w:rPr>
          <w:rFonts w:ascii="Times New Roman" w:hAnsi="Times New Roman" w:cs="Times New Roman"/>
          <w:b/>
          <w:color w:val="ff3333"/>
          <w:sz w:val="22"/>
          <w:szCs w:val="24"/>
        </w:rPr>
      </w:r>
      <w:r>
        <w:rPr>
          <w:rFonts w:ascii="Times New Roman" w:hAnsi="Times New Roman" w:cs="Times New Roman"/>
          <w:b/>
          <w:color w:val="ff3333"/>
          <w:sz w:val="22"/>
          <w:szCs w:val="24"/>
        </w:rPr>
      </w:r>
    </w:p>
    <w:p>
      <w:pPr>
        <w:pStyle w:val="796"/>
        <w:pBdr/>
        <w:tabs>
          <w:tab w:val="left" w:leader="none" w:pos="1435"/>
        </w:tabs>
        <w:spacing w:after="0" w:before="0" w:line="259" w:lineRule="auto"/>
        <w:ind w:right="0" w:firstLine="0" w:left="0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ff3333"/>
        </w:rPr>
        <w:t xml:space="preserve"> </w:t>
      </w:r>
      <w:r>
        <w:rPr>
          <w:rFonts w:ascii="Times New Roman" w:hAnsi="Times New Roman" w:cs="Times New Roman"/>
          <w:b/>
          <w:color w:val="ff3333"/>
          <w:sz w:val="22"/>
        </w:rPr>
        <w:t xml:space="preserve">BRANIEWO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796"/>
        <w:pBdr/>
        <w:spacing w:after="0" w:before="0" w:line="259" w:lineRule="auto"/>
        <w:ind w:right="0" w:firstLine="0" w:left="0"/>
        <w:jc w:val="left"/>
        <w:rPr>
          <w:rFonts w:ascii="Times New Roman" w:hAnsi="Times New Roman" w:cs="Times New Roman"/>
          <w:b/>
          <w:color w:val="ff3333"/>
          <w:sz w:val="22"/>
        </w:rPr>
      </w:pPr>
      <w:r>
        <w:rPr>
          <w:rFonts w:ascii="Times New Roman" w:hAnsi="Times New Roman" w:cs="Times New Roman"/>
          <w:b/>
          <w:color w:val="ff3333"/>
          <w:sz w:val="22"/>
        </w:rPr>
      </w:r>
      <w:r>
        <w:rPr>
          <w:rFonts w:ascii="Times New Roman" w:hAnsi="Times New Roman" w:cs="Times New Roman"/>
          <w:b/>
          <w:color w:val="ff3333"/>
          <w:sz w:val="22"/>
        </w:rPr>
      </w:r>
      <w:r>
        <w:rPr>
          <w:rFonts w:ascii="Times New Roman" w:hAnsi="Times New Roman" w:cs="Times New Roman"/>
          <w:b/>
          <w:color w:val="ff3333"/>
          <w:sz w:val="22"/>
        </w:rPr>
      </w:r>
    </w:p>
    <w:p w14:paraId="5E34ECFE">
      <w:pPr>
        <w:pStyle w:val="740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740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UCHWAŁA NR 70/IX/2026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Style w:val="740"/>
        <w:pBdr/>
        <w:spacing w:after="0" w:before="0" w:line="259" w:lineRule="auto"/>
        <w:ind/>
        <w:jc w:val="center"/>
        <w:rPr/>
      </w:pPr>
      <w:r>
        <w:rPr>
          <w:rFonts w:ascii="Times New Roman" w:hAnsi="Times New Roman" w:cs="Times New Roman"/>
          <w:b/>
          <w:sz w:val="24"/>
          <w:szCs w:val="24"/>
        </w:rPr>
        <w:t xml:space="preserve">RADY GMINY BRANIEWO</w:t>
      </w:r>
      <w:r/>
    </w:p>
    <w:p>
      <w:pPr>
        <w:pStyle w:val="740"/>
        <w:pBdr/>
        <w:spacing w:after="0" w:before="0" w:line="259" w:lineRule="auto"/>
        <w:ind/>
        <w:jc w:val="center"/>
        <w:rPr/>
      </w:pPr>
      <w:r>
        <w:rPr>
          <w:rFonts w:ascii="Times New Roman" w:hAnsi="Times New Roman" w:cs="Times New Roman"/>
          <w:b/>
          <w:sz w:val="24"/>
          <w:szCs w:val="24"/>
        </w:rPr>
        <w:t xml:space="preserve">Z DNIA 30 WRZEŚNIA 2026 ROKU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w sprawie przyjęcia „Wieloletniego Programu Współpracy Gminy Braniewo                   z organizacjami pozarządowymi oraz podmiotami, o których mowa w art. 3 ust. 3 ustawy o działalności pożytku publicznego i o wolontariacie, na lata 2027–2031”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3"/>
        <w:pBdr/>
        <w:spacing/>
        <w:ind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pl-PL"/>
          <w14:ligatures w14:val="none"/>
        </w:rPr>
        <w:t xml:space="preserve">Na podstawie art. 18 ust. 2 pkt 15 ustawy z dni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pl-PL"/>
          <w14:ligatures w14:val="none"/>
        </w:rPr>
        <w:t xml:space="preserve">a 8 marca 1990 r. o samorządzie gminnym </w:t>
        <w:br/>
        <w:t xml:space="preserve">(t.j. Dz.U. z 2026r. poz. 662) oraz art. 5a ust. 2 ustawy z dnia 24 kwietnia 2003 r. </w:t>
        <w:br/>
        <w:t xml:space="preserve">o działalności pożytku publicznego i o wolontariacie (Dz.U. z 2025r. poz.1338 ze zm.), Rada Gminy Braniewo uchwala, co następuje: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1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pBdr/>
        <w:spacing w:afterAutospacing="1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Przyjm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uje się „Wieloletni Program Współpracy Gminy Braniewo z organizacjami pozarządowymi oraz podmiotami, o których mowa w art. 3 ust. 3 ustawy o działalności pożytku publicznego i o wolontariacie, na lata 2027–2031”, stanowiący załącznik do niniejszej uchwały.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2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pBdr/>
        <w:spacing w:afterAutospacing="1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Wykonanie uchwały powierza się Wójtowi Gminy Braniewo.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3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cs="Times New Roman"/>
        </w:rPr>
        <w:t xml:space="preserve">Uchwała wchodzi w życie po upływie 14 dni od dnia ogłoszenia w Dzienniku Urzędowym Województwa Warmińsko-Mazurskiego. 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 w14:paraId="596FD185"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 w14:paraId="53895F0E"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 w14:paraId="0FCBB60A"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 w14:paraId="11C1C49B"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 w14:paraId="30201F5C"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 w14:paraId="12EBEF66"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 w14:paraId="44924CCC"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 w14:paraId="239AE0C1"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96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3333"/>
          <w:sz w:val="22"/>
          <w:lang w:eastAsia="pl-PL"/>
          <w14:ligatures w14:val="none"/>
        </w:rPr>
        <w:t xml:space="preserve">RADA GMINY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96"/>
        <w:pBdr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3333"/>
          <w:lang w:eastAsia="pl-PL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ff3333"/>
          <w:sz w:val="22"/>
          <w:lang w:eastAsia="pl-PL"/>
          <w14:ligatures w14:val="none"/>
        </w:rPr>
        <w:t xml:space="preserve">BRANIEWO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widowControl w:val="true"/>
        <w:pBdr/>
        <w:bidi w:val="false"/>
        <w:spacing w:after="0" w:before="0" w:line="240" w:lineRule="auto"/>
        <w:ind w:right="1" w:firstLine="0" w:left="0"/>
        <w:jc w:val="right"/>
        <w:rPr>
          <w:rFonts w:ascii="Times New Roman" w:hAnsi="Times New Roman" w:eastAsia="Calibri" w:cs="Times New Roman"/>
          <w:b/>
          <w:bCs/>
          <w:color w:val="000000"/>
          <w:sz w:val="22"/>
          <w:szCs w:val="22"/>
          <w:highlight w:val="none"/>
        </w:rPr>
      </w:pPr>
      <w:r>
        <w:rPr>
          <w:rFonts w:ascii="Times New Roman" w:hAnsi="Times New Roman" w:eastAsia="Calibri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eastAsia="Calibri" w:cs="Times New Roman"/>
          <w:b/>
          <w:bCs/>
          <w:color w:val="000000"/>
          <w:sz w:val="20"/>
          <w:szCs w:val="20"/>
        </w:rPr>
        <w:t xml:space="preserve">ZAŁĄCZNIK NR 1</w:t>
      </w:r>
      <w:r>
        <w:rPr>
          <w:rFonts w:ascii="Times New Roman" w:hAnsi="Times New Roman" w:eastAsia="Calibri" w:cs="Times New Roman"/>
          <w:b/>
          <w:bCs/>
          <w:color w:val="000000"/>
          <w:sz w:val="22"/>
          <w:szCs w:val="22"/>
          <w:highlight w:val="none"/>
        </w:rPr>
      </w:r>
      <w:r>
        <w:rPr>
          <w:rFonts w:ascii="Times New Roman" w:hAnsi="Times New Roman" w:eastAsia="Calibri" w:cs="Times New Roman"/>
          <w:b/>
          <w:bCs/>
          <w:color w:val="000000"/>
          <w:sz w:val="22"/>
          <w:szCs w:val="22"/>
          <w:highlight w:val="none"/>
        </w:rPr>
      </w:r>
    </w:p>
    <w:p>
      <w:pPr>
        <w:pStyle w:val="740"/>
        <w:widowControl w:val="true"/>
        <w:pBdr/>
        <w:bidi w:val="false"/>
        <w:spacing w:after="0" w:before="0" w:line="240" w:lineRule="auto"/>
        <w:ind w:right="1" w:firstLine="0" w:left="0"/>
        <w:jc w:val="right"/>
        <w:rPr>
          <w:sz w:val="20"/>
          <w:szCs w:val="20"/>
        </w:rPr>
      </w:pPr>
      <w:r>
        <w:rPr>
          <w:rFonts w:ascii="Times New Roman" w:hAnsi="Times New Roman" w:eastAsia="Calibri" w:cs="Times New Roman"/>
          <w:b/>
          <w:bCs/>
          <w:color w:val="000000"/>
          <w:sz w:val="20"/>
          <w:szCs w:val="20"/>
        </w:rPr>
        <w:t xml:space="preserve">DO UCHWAŁY NR 70/IX/2026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40"/>
        <w:widowControl w:val="true"/>
        <w:pBdr/>
        <w:bidi w:val="false"/>
        <w:spacing w:after="0" w:before="0" w:line="240" w:lineRule="auto"/>
        <w:ind w:right="1" w:firstLine="0" w:left="0"/>
        <w:jc w:val="right"/>
        <w:rPr>
          <w:sz w:val="20"/>
          <w:szCs w:val="20"/>
        </w:rPr>
      </w:pPr>
      <w:r>
        <w:rPr>
          <w:rFonts w:ascii="Times New Roman" w:hAnsi="Times New Roman" w:eastAsia="Calibri" w:cs="Times New Roman"/>
          <w:b/>
          <w:bCs/>
          <w:color w:val="000000"/>
          <w:sz w:val="20"/>
          <w:szCs w:val="20"/>
        </w:rPr>
        <w:t xml:space="preserve">RADY GMINY BRANIEWO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40"/>
        <w:widowControl w:val="true"/>
        <w:pBdr/>
        <w:bidi w:val="false"/>
        <w:spacing w:after="0" w:before="0" w:line="240" w:lineRule="auto"/>
        <w:ind w:right="1" w:firstLine="0" w:left="0"/>
        <w:jc w:val="right"/>
        <w:rPr>
          <w:sz w:val="20"/>
          <w:szCs w:val="20"/>
        </w:rPr>
      </w:pPr>
      <w:r>
        <w:rPr>
          <w:rFonts w:ascii="Times New Roman" w:hAnsi="Times New Roman" w:eastAsia="Calibri" w:cs="Times New Roman"/>
          <w:b/>
          <w:bCs/>
          <w:sz w:val="20"/>
          <w:szCs w:val="20"/>
        </w:rPr>
        <w:t xml:space="preserve">Z DNIA 30 WRZEŚNIA 2026 ROKU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 w:right="-282" w:firstLine="0" w:left="0"/>
        <w:jc w:val="right"/>
        <w:outlineLvl w:val="1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center"/>
        <w:outlineLvl w:val="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  <w14:ligatures w14:val="none"/>
        </w:rPr>
        <w:t xml:space="preserve">WIELOLETNI PROGRAM WSPÓŁPRACY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center"/>
        <w:outlineLvl w:val="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  <w14:ligatures w14:val="none"/>
        </w:rPr>
        <w:t xml:space="preserve">GMINY BRANIEWO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center"/>
        <w:outlineLvl w:val="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  <w14:ligatures w14:val="none"/>
        </w:rPr>
        <w:t xml:space="preserve">Z ORGANIZACJAMI POZARZĄDOWYMI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center"/>
        <w:outlineLvl w:val="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  <w14:ligatures w14:val="none"/>
        </w:rPr>
        <w:t xml:space="preserve">ORAZ PODMIOTAMI, O KTÓRYCH MOWA W ART. 3 UST.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center"/>
        <w:outlineLvl w:val="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  <w14:ligatures w14:val="none"/>
        </w:rPr>
        <w:t xml:space="preserve">USTAWY O DZIAŁALNOŚCI POŻYTKU PUBLICZNEGO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center"/>
        <w:outlineLvl w:val="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  <w14:ligatures w14:val="none"/>
        </w:rPr>
        <w:t xml:space="preserve">I O WOLONTARIACIE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center"/>
        <w:outlineLvl w:val="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  <w14:ligatures w14:val="none"/>
        </w:rPr>
        <w:t xml:space="preserve">NA LATA 2027–2031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0"/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Rozdział 1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Postanowienia ogólne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1.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1"/>
        </w:numPr>
        <w:pBdr/>
        <w:spacing w:after="0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Wieloletni Program Współpracy Gminy Braniewo z organizacjami pozarządowymi oraz 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podmiotami, o których mowa w art. 3 ust. 3 ustawy o działalności pożytku publicznego i o wolontariacie, na lata 2027–2031, zwany dalej „Programem”, określa podstawowe cele, zasady, zakres oraz formy współpracy Gminy Braniewo </w:t>
        <w:br/>
        <w:t xml:space="preserve">z organizacjami pozarządowymi.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Ilekroć w Programie jest mowa o: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821"/>
        <w:numPr>
          <w:ilvl w:val="0"/>
          <w:numId w:val="2"/>
        </w:numPr>
        <w:pBdr/>
        <w:spacing w:after="0" w:beforeAutospacing="1" w:line="240" w:lineRule="auto"/>
        <w:ind/>
        <w:contextualSpacing w:val="true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Gminie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 – należy przez to rozumieć Gminę Braniewo;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2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Radzie Gminy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 – należy przez to rozumieć Radę Gminy Braniewo;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2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Wójcie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 – należy przez to rozumieć Wójta Gminy Braniewo;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2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Urzędzie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 – należy przez to rozumieć Urząd Gminy Braniewo;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2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organizacjach pozarządowych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 – należy przez to rozumieć organizacje pozarządowe oraz podmioty wymienione w art. 3 ust. 3 ustawy;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2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ustawie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 – należy przez to rozumieć ustawę z dnia 24 kwietnia 2003 r. o działalności pożytku publicznego i o wolontariacie;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2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Programie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 – należy przez to rozumieć Wieloletni Program Współpracy Gminy Braniewo z organizacjami pozarządowymi na lata 2027–2031.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Rozdział 2</w:t>
      </w:r>
      <w:r/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Cel główny i cele szczegółowe Programu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2.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pBdr/>
        <w:spacing w:afterAutospacing="1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Celem głównym Programu jest rozwijanie partnerskiej współpracy Gminy z organizacjami pozarządowymi w celu skutecznego i efektywnego zaspokajania potrzeb mieszkańców Gminy Braniewo oraz wspierania rozwoju społeczeństwa obywatelskiego.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 w14:paraId="51FC4F66">
      <w:pPr>
        <w:pStyle w:val="796"/>
        <w:numPr>
          <w:ilvl w:val="0"/>
          <w:numId w:val="0"/>
        </w:numPr>
        <w:pBdr/>
        <w:spacing w:after="0" w:before="0" w:line="240" w:lineRule="auto"/>
        <w:ind/>
        <w:jc w:val="left"/>
        <w:outlineLvl w:val="2"/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14:ligatures w14:val="none"/>
        </w:rPr>
      </w:r>
    </w:p>
    <w:p w14:paraId="5EBCFFA2">
      <w:pPr>
        <w:pStyle w:val="796"/>
        <w:numPr>
          <w:ilvl w:val="0"/>
          <w:numId w:val="0"/>
        </w:numPr>
        <w:pBdr/>
        <w:spacing w:after="0" w:before="0" w:line="240" w:lineRule="auto"/>
        <w:ind/>
        <w:jc w:val="left"/>
        <w:outlineLvl w:val="2"/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:lang w:eastAsia="pl-PL"/>
          <w14:ligatures w14:val="none"/>
        </w:rPr>
      </w:r>
    </w:p>
    <w:p>
      <w:pPr>
        <w:pStyle w:val="796"/>
        <w:numPr>
          <w:ilvl w:val="0"/>
          <w:numId w:val="0"/>
        </w:numPr>
        <w:pBdr/>
        <w:spacing w:after="0" w:before="0" w:line="240" w:lineRule="auto"/>
        <w:ind/>
        <w:jc w:val="left"/>
        <w:outlineLvl w:val="2"/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lang w:eastAsia="pl-PL"/>
          <w14:ligatures w14:val="none"/>
        </w:rPr>
        <w:t xml:space="preserve">RADA GMINY</w:t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:lang w:eastAsia="pl-PL"/>
          <w14:ligatures w14:val="none"/>
        </w:rPr>
      </w:r>
    </w:p>
    <w:p>
      <w:pPr>
        <w:pStyle w:val="796"/>
        <w:pBdr/>
        <w:spacing w:after="0" w:before="0" w:line="240" w:lineRule="auto"/>
        <w:ind w:right="0" w:firstLine="0" w:left="0"/>
        <w:rPr>
          <w:rFonts w:ascii="Times New Roman" w:hAnsi="Times New Roman" w:eastAsia="Times New Roman" w:cs="Times New Roman"/>
          <w:b/>
          <w:bCs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lang w:eastAsia="pl-PL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lang w:eastAsia="pl-PL"/>
          <w14:ligatures w14:val="none"/>
        </w:rPr>
        <w:t xml:space="preserve">BRANIEWO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3.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pBdr/>
        <w:spacing w:afterAutospacing="1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Celami szczegółowymi Programu są: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821"/>
        <w:numPr>
          <w:ilvl w:val="0"/>
          <w:numId w:val="3"/>
        </w:numPr>
        <w:pBdr/>
        <w:spacing w:after="0" w:beforeAutospacing="1" w:line="240" w:lineRule="auto"/>
        <w:ind/>
        <w:contextualSpacing w:val="true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zwiększanie udziału organizacji pozarządowych w realizacji zadań publicznych;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3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wykorzystywanie potencjału, wiedzy i doświadczenia organizacji pozarządowych;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3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poprawę jakości życia mieszkańców Gminy;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3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wspieranie aktywności obywatelskiej i inicjatyw społecznych;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3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przeciwdziałanie wykluczeniu społecznemu;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3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wspieranie działań na rzecz osób znajdujących się w trudnej sytuacji życiowej;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3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wspieranie działań na rzecz osób z niepełnosprawnościami, osób starszych oraz innych osób wymagających wsparcia;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3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rozwijanie wolontariatu;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3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wzmacnianie potencjału organizacji pozarządowych;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3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rozwijanie partnerskich form współpracy pomiędzy Gminą a organizacjami pozarządowymi.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Rozdział 3</w:t>
      </w:r>
      <w:r/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Zasady współpracy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4.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pBdr/>
        <w:spacing w:afterAutospacing="1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Współpraca Gminy z organizacjami pozarządowymi odbywa się na zasadach: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821"/>
        <w:numPr>
          <w:ilvl w:val="0"/>
          <w:numId w:val="4"/>
        </w:numPr>
        <w:pBdr/>
        <w:spacing w:after="0" w:beforeAutospacing="1" w:line="240" w:lineRule="auto"/>
        <w:ind/>
        <w:contextualSpacing w:val="true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pomocniczości;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4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suwerenności stron;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4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partnerstwa;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4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efektywności;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4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uczciwej konkurencji;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4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jawności.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Rozdział 4</w:t>
      </w:r>
      <w:r/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Zakres przedmiotowy współpracy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5.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5"/>
        </w:numPr>
        <w:pBdr/>
        <w:spacing w:after="0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Zakres przedmiotowy współpracy Gminy z organizacjami pozarządowymi obejmuje sferę zadań publicznych określoną w art. 4 ust. 1 ustawy, w zakresie odpowiadającym zadaniom i kompetencjom Gminy.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5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 szczególności współpraca może obejmować zadania z zakresu: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821"/>
        <w:numPr>
          <w:ilvl w:val="0"/>
          <w:numId w:val="6"/>
        </w:numPr>
        <w:pBdr/>
        <w:spacing w:after="0" w:beforeAutospacing="1" w:line="240" w:lineRule="auto"/>
        <w:ind/>
        <w:contextualSpacing w:val="true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pomocy społecznej, w tym pomocy rodzinom i osobom w trudnej sytuacji życiowej oraz wyrównywania szans tych rodzin i osób;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działalności na rzecz osób z niepełnosprawnościami;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ochrony i promocji zdrowia;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działalności na rzecz osób w wieku emerytalnym;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wspierania rodziny;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działalności na rzecz dzieci i młodzieży;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przeciwdziałania uzależnieniom i patologiom społecznym;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kultury, sztuki, ochrony dóbr kultury i dziedzictwa narodowego;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 w14:paraId="19C81A70">
      <w:pPr>
        <w:pStyle w:val="740"/>
        <w:widowControl w:val="true"/>
        <w:numPr>
          <w:ilvl w:val="0"/>
          <w:numId w:val="0"/>
        </w:numPr>
        <w:pBdr/>
        <w:bidi w:val="false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color w:val="ff3333"/>
          <w:sz w:val="22"/>
          <w:highlight w:val="none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widowControl w:val="true"/>
        <w:numPr>
          <w:ilvl w:val="0"/>
          <w:numId w:val="0"/>
        </w:numPr>
        <w:pBdr/>
        <w:bidi w:val="false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color w:val="ff3333"/>
          <w:sz w:val="20"/>
          <w:szCs w:val="20"/>
          <w:lang w:eastAsia="pl-PL"/>
          <w14:ligatures w14:val="none"/>
        </w:rPr>
        <w:t xml:space="preserve">RADA GMINY</w:t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14:ligatures w14:val="none"/>
        </w:rPr>
      </w:r>
    </w:p>
    <w:p>
      <w:pPr>
        <w:pStyle w:val="796"/>
        <w:pBdr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color w:val="ff3333"/>
          <w:sz w:val="20"/>
          <w:szCs w:val="20"/>
          <w:lang w:eastAsia="pl-PL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ff3333"/>
          <w:sz w:val="20"/>
          <w:szCs w:val="20"/>
          <w:lang w:eastAsia="pl-PL"/>
          <w14:ligatures w14:val="none"/>
        </w:rPr>
        <w:t xml:space="preserve">BRANIEWO</w:t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 w:firstLine="0" w:left="720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wspierania i upowszechniania kultury fizycznej;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turystyki i krajoznawstwa;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nauki, edukacji, oświaty i wychowania;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ekologii i ochrony zwierząt oraz ochrony dziedzictwa przyrodniczego;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działalności wspomagającej rozwój wspólnot i społeczności lokalnych;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promocji i organizacji wolontariatu;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działalności na rzecz integracji społecznej mieszkańców;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działalności na rzecz rozwoju społeczeństwa obywatelskiego;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6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innych zadań publicznych określonych w ustawie, pozostających w zakresie zadań </w:t>
        <w:br/>
        <w:t xml:space="preserve">i kompetencji Gminy.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7"/>
        </w:numPr>
        <w:pBdr/>
        <w:spacing w:afterAutospacing="1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Szczegółowe priorytetowe zadania publiczne przeznaczone do realizacji </w:t>
        <w:br/>
        <w:t xml:space="preserve">w poszczególnych latach obowiązywania Programu mogą być określane również </w:t>
        <w:br/>
        <w:t xml:space="preserve">w rocznych programach współpracy Gminy Braniewo z organizacjami pozarządowymi.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Rozdział 5</w:t>
      </w:r>
      <w:r/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Formy współpracy i sposób realizacji Programu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6.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8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Współpraca Gminy z organizacjami pozarządowymi może mieć charakter finansowy </w:t>
        <w:br/>
        <w:t xml:space="preserve">i pozafinansowy.</w:t>
      </w:r>
      <w:r/>
    </w:p>
    <w:p>
      <w:pPr>
        <w:pStyle w:val="740"/>
        <w:numPr>
          <w:ilvl w:val="0"/>
          <w:numId w:val="8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Współpraca finansowa odbywa się w szczególności poprzez:</w:t>
      </w:r>
      <w:r/>
    </w:p>
    <w:p>
      <w:pPr>
        <w:pStyle w:val="821"/>
        <w:numPr>
          <w:ilvl w:val="0"/>
          <w:numId w:val="9"/>
        </w:numPr>
        <w:pBdr/>
        <w:spacing w:after="0" w:before="0" w:line="240" w:lineRule="auto"/>
        <w:ind/>
        <w:contextualSpacing w:val="false"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powierzanie organizacjom pozarządowym realizacji zadań publicznych </w:t>
        <w:br/>
        <w:t xml:space="preserve">wraz z udzieleniem dotacji na finansowanie ich realizacji;</w:t>
      </w:r>
      <w:r/>
    </w:p>
    <w:p>
      <w:pPr>
        <w:pStyle w:val="740"/>
        <w:numPr>
          <w:ilvl w:val="0"/>
          <w:numId w:val="9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wspieranie realizacji zadań publicznych wraz z udzieleniem dotacji na dofinansowanie ich realizacji;</w:t>
      </w:r>
      <w:r/>
    </w:p>
    <w:p>
      <w:pPr>
        <w:pStyle w:val="740"/>
        <w:numPr>
          <w:ilvl w:val="0"/>
          <w:numId w:val="9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zlecanie realizacji zadań publicznych w drodze otwartych konkursów ofert;</w:t>
      </w:r>
      <w:r/>
    </w:p>
    <w:p>
      <w:pPr>
        <w:pStyle w:val="740"/>
        <w:numPr>
          <w:ilvl w:val="0"/>
          <w:numId w:val="9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realizację zadań publicznych w innych trybach przewidzianych obowiązującymi przepisami prawa.</w:t>
      </w:r>
      <w:r/>
    </w:p>
    <w:p>
      <w:pPr>
        <w:pStyle w:val="740"/>
        <w:numPr>
          <w:ilvl w:val="0"/>
          <w:numId w:val="10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Współpraca pozafinansowa odbywa się w szczególności poprzez:</w:t>
      </w:r>
      <w:r/>
    </w:p>
    <w:p>
      <w:pPr>
        <w:pStyle w:val="821"/>
        <w:numPr>
          <w:ilvl w:val="0"/>
          <w:numId w:val="11"/>
        </w:numPr>
        <w:pBdr/>
        <w:spacing w:after="0" w:before="0" w:line="240" w:lineRule="auto"/>
        <w:ind/>
        <w:contextualSpacing w:val="false"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wzajemne informowanie się o planowanych kierunkach działalności;</w:t>
      </w:r>
      <w:r/>
    </w:p>
    <w:p>
      <w:pPr>
        <w:pStyle w:val="740"/>
        <w:numPr>
          <w:ilvl w:val="0"/>
          <w:numId w:val="11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konsultowanie z organizacjami pozarządowymi projektów aktów normatywnych </w:t>
        <w:br/>
        <w:t xml:space="preserve">w dziedzinach dotyczących ich działalności statutowej;</w:t>
      </w:r>
      <w:r/>
    </w:p>
    <w:p>
      <w:pPr>
        <w:pStyle w:val="740"/>
        <w:numPr>
          <w:ilvl w:val="0"/>
          <w:numId w:val="11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konsultowanie projektów dokumentów programowych i strategicznych dotyczących działalności organizacji pozarządowych;</w:t>
      </w:r>
      <w:r/>
    </w:p>
    <w:p>
      <w:pPr>
        <w:pStyle w:val="740"/>
        <w:numPr>
          <w:ilvl w:val="0"/>
          <w:numId w:val="11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tworzenie wspólnych zespołów o charakterze doradczym i inicjatywnym;</w:t>
      </w:r>
      <w:r/>
    </w:p>
    <w:p>
      <w:pPr>
        <w:pStyle w:val="740"/>
        <w:numPr>
          <w:ilvl w:val="0"/>
          <w:numId w:val="11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promowanie działalności organizacji pozarządowych;</w:t>
      </w:r>
      <w:r/>
    </w:p>
    <w:p>
      <w:pPr>
        <w:pStyle w:val="740"/>
        <w:numPr>
          <w:ilvl w:val="0"/>
          <w:numId w:val="11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wspieranie rozwoju wolontariatu;</w:t>
      </w:r>
      <w:r/>
    </w:p>
    <w:p>
      <w:pPr>
        <w:pStyle w:val="740"/>
        <w:numPr>
          <w:ilvl w:val="0"/>
          <w:numId w:val="11"/>
        </w:numPr>
        <w:pBdr/>
        <w:spacing w:after="0" w:before="0" w:line="240" w:lineRule="auto"/>
        <w:ind/>
        <w:jc w:val="both"/>
        <w:rPr/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udzielanie organizacjom pozarządowym pomocy informacyjnej i organizacyjnej </w:t>
        <w:br/>
        <w:t xml:space="preserve">w zakresie dopuszczonym obowiązującymi przepisami prawa.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7.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12"/>
        </w:numPr>
        <w:pBdr/>
        <w:spacing w:after="0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Zlecanie organizacjom pozarządowym realizacji zadań publicznych odbywa </w:t>
        <w:br/>
        <w:t xml:space="preserve">się na zasadach i w trybach określonych w ustawie oraz w innych właściwych przepisach prawa.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2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 ramach realizacji Programu Gmina może zlecać organizacjom pozarządowym realizację zadań publicznych na okresy wieloletnie, jeżeli możliwość taka wynika </w:t>
        <w:br/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 w:firstLine="0" w:left="720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 w:firstLine="0" w:left="720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 w:firstLine="0" w:left="720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z obowiązujących przepisów prawa oraz charakteru i sposobu finansowania danego zadania.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2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Szczegółowe warunki realizacji zadań publicznych, w tym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 okres realizacji zadania, wysokość środków, zasady finansowania i rozliczania, określane będą zgodnie </w:t>
        <w:br/>
        <w:t xml:space="preserve">z obowiązującymi przepisami prawa, w szczególności w ogłoszeniach o otwartych konkursach ofert oraz w umowach zawieranych z organizacjami pozarządowymi.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Rozdział 6</w:t>
      </w:r>
      <w:r/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Okres realizacji Programu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8.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pBdr/>
        <w:spacing w:afterAutospacing="1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Program realizowany będzie od dnia 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1 stycznia 2027 r. do dnia 31 grudnia 2031 r.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Rozdział 7</w:t>
      </w:r>
      <w:r/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Podmioty uczestniczące w realizacji Programu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9.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pBdr/>
        <w:spacing w:afterAutospacing="1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 realizacji Programu uczestniczą w szczególności: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821"/>
        <w:numPr>
          <w:ilvl w:val="0"/>
          <w:numId w:val="13"/>
        </w:numPr>
        <w:pBdr/>
        <w:spacing w:after="0" w:beforeAutospacing="1" w:line="240" w:lineRule="auto"/>
        <w:ind/>
        <w:contextualSpacing w:val="true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Rada Gminy Braniewo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 – w zakresie wyznaczania kierunków polityki społecznej </w:t>
        <w:br/>
        <w:t xml:space="preserve">i finansowej Gminy oraz uchwalania budżetu;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3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Wójt Gminy Braniewo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 – w zakresie realizacji Programu, w tym organizowania współpracy z organizacjami pozarządowymi oraz zlecania realizacji zadań publicznych w granicach i na zasadach określonych przepisami prawa;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3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właściwe komórki organizacyjne Urzędu oraz jednostki organizacyjne Gminy – </w:t>
        <w:br/>
        <w:t xml:space="preserve">w zakresie bieżącej współpracy z organizacjami pozarządowymi;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3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organizacje pozarządowe – w zakresie realizacji zadań publicznych oraz podejmowania inicjatyw na rzecz mieszkańców Gminy.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Rozdział 8</w:t>
      </w:r>
      <w:r/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Wysokość środków planowanych na realizację Programu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10.</w:t>
      </w:r>
      <w:r>
        <w:rPr>
          <w:rFonts w:cs="Calibri"/>
          <w:color w:val="1f497d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821"/>
        <w:numPr>
          <w:ilvl w:val="0"/>
          <w:numId w:val="14"/>
        </w:numPr>
        <w:pBdr/>
        <w:spacing w:after="0" w:beforeAutospacing="1" w:line="240" w:lineRule="auto"/>
        <w:ind/>
        <w:contextualSpacing w:val="true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cs="Times New Roman"/>
        </w:rPr>
        <w:t xml:space="preserve">Planowana wysokość środków na realizację Programu w latach 2027-2031, nie będzie mniejsza niż 1 900.000,00 zł rocznie 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821"/>
        <w:numPr>
          <w:ilvl w:val="0"/>
          <w:numId w:val="14"/>
        </w:numPr>
        <w:pBdr/>
        <w:spacing w:after="0" w:before="0" w:line="240" w:lineRule="auto"/>
        <w:ind/>
        <w:contextualSpacing w:val="true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Wysokość środków przeznaczonych na realizację Programu w poszczególnych latach wynikać będzie z uchwały budżetowej Gminy Braniewo na dany rok oraz możliwości finansowych Gminy.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4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 przypadku zadań finansowanych ze środków przekazywanych Gmini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e na realizację zadań z zakresu administracji rządowej wysokość środków przeznaczonych na realizację danego zadania uzależniona będzie od wysokości środków przyznanych Gminie na dany rok oraz zasad ich wykorzystania określonych w obowiązujących przepisach.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4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Ostateczna wysokość środków przeznaczonych na realizację poszczególnych zadań publicznych określana będzie zgodnie z obowiązującymi przepisami oraz z uwzględnieniem środków dostępnych na realizację danego zadania.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 w14:paraId="15A3425F"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 w14:paraId="37171B76"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 w14:paraId="35D09C2E">
      <w:pPr>
        <w:pStyle w:val="740"/>
        <w:widowControl w:val="true"/>
        <w:numPr>
          <w:ilvl w:val="0"/>
          <w:numId w:val="0"/>
        </w:numPr>
        <w:pBdr/>
        <w:bidi w:val="false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color w:val="ff3333"/>
          <w:sz w:val="20"/>
          <w:szCs w:val="20"/>
          <w:lang w:eastAsia="pl-PL"/>
          <w14:ligatures w14:val="none"/>
        </w:rPr>
        <w:t xml:space="preserve">RADA GMINY</w:t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highlight w:val="none"/>
          <w14:ligatures w14:val="none"/>
        </w:rPr>
      </w:r>
    </w:p>
    <w:p w14:paraId="4A9B0042">
      <w:pPr>
        <w:pStyle w:val="796"/>
        <w:pBdr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color w:val="ff3333"/>
          <w:sz w:val="20"/>
          <w:szCs w:val="20"/>
          <w:lang w:eastAsia="pl-PL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ff3333"/>
          <w:sz w:val="20"/>
          <w:szCs w:val="20"/>
          <w:lang w:eastAsia="pl-PL"/>
          <w14:ligatures w14:val="none"/>
        </w:rPr>
        <w:t xml:space="preserve">BRANIEWO</w:t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sz w:val="20"/>
          <w:szCs w:val="20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Rozdział 9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Sposób oceny realizacji Programu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11.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15"/>
        </w:numPr>
        <w:pBdr/>
        <w:spacing w:after="0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Realizacja Programu podlega bieżącemu monitorowaniu i ocenie.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5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Ocena realizacji Programu dokonywana będzie w szczególności na podstawie następujących mierników: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821"/>
        <w:numPr>
          <w:ilvl w:val="0"/>
          <w:numId w:val="16"/>
        </w:numPr>
        <w:pBdr/>
        <w:spacing w:after="0" w:beforeAutospacing="1" w:line="240" w:lineRule="auto"/>
        <w:ind/>
        <w:contextualSpacing w:val="true"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liczby ogłoszonych otwartych konkursów ofert;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liczby złożonych ofert;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liczby zawartych umów na realizację zadań publicznych;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liczby organizacji pozarządowych realizujących zadania publiczne we współpracy z Gminą;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wysokości środków finansowych przeznaczonych na realizację zadań publicznych;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6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liczby osób będących odbiorcami realizowanych zadań – w zakresie, w jakim ustalenie tych danych jest możliwe;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6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zakresu współpracy pozafinansowej prowadzonej z organizacjami pozarządowymi.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Rozdział 10</w:t>
      </w:r>
      <w:r/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Informacja o sposobie tworzenia Programu oraz przebiegu konsultacji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12.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17"/>
        </w:numPr>
        <w:pBdr/>
        <w:spacing w:after="0" w:beforeAutospacing="1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Projekt Programu został przygotowany z uwzględnieniem doświadczeń wynikających z dotychczasowej współpracy Gminy z organizacjami pozarządowymi oraz potrzeb mieszkańców Gminy Braniewo.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40"/>
        <w:numPr>
          <w:ilvl w:val="0"/>
          <w:numId w:val="17"/>
        </w:numPr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Projekt Programu został poddany konsultacjom z organizacjami pozarządowymi </w:t>
        <w:br/>
        <w:t xml:space="preserve">oraz podmiotami wymienionymi w art. 3 ust. 3 ustawy.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40"/>
        <w:numPr>
          <w:ilvl w:val="0"/>
          <w:numId w:val="17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Konsultacje przeprowadzono zgodnie z zasadami obowiązującymi w Gminie Braniewo w zakresie konsultowania projektów aktów dotyczących działalności organizacji pozarządowych.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7"/>
        </w:numPr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Konsultacje prz</w:t>
      </w:r>
      <w:r>
        <w:rPr>
          <w:rFonts w:ascii="Times New Roman" w:hAnsi="Times New Roman"/>
        </w:rPr>
        <w:t xml:space="preserve">eprowadzono w terminie od dnia 15 września 2026 r. do dnia 29 września 2026 r., w formie pisemnego zgłaszania opinii, uwag i propozycji. Opinie, uwagi i propozycje można było składać drogą elektroniczną oraz bezpośrednio </w:t>
        <w:br/>
        <w:t xml:space="preserve">w siedzibie Urzędu Gminy Braniewo.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40"/>
        <w:numPr>
          <w:ilvl w:val="0"/>
          <w:numId w:val="17"/>
        </w:numPr>
        <w:pBdr/>
        <w:spacing w:after="0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Informacja o przebiegu konsultacji, zgłoszonych uwagach oraz sposobie ich rozpatrzenia stanowi dokumentację procesu konsultacyjnego.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40"/>
        <w:numPr>
          <w:ilvl w:val="0"/>
          <w:numId w:val="17"/>
        </w:numPr>
        <w:pBdr/>
        <w:spacing w:afterAutospacing="1" w:before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 przypadku wyrażenia opinii o projekcie Programu przez właściwą radę działalności pożytku publicznego opinia zostaje załączona do projektu przedstawianego Radzie Gminy, zgodnie z art. 5a ust. 2a ustawy.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 w14:paraId="1E114F40"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96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lang w:eastAsia="pl-PL"/>
          <w14:ligatures w14:val="none"/>
        </w:rPr>
        <w:t xml:space="preserve">RADA GMINY</w:t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14:ligatures w14:val="none"/>
        </w:rPr>
      </w:r>
    </w:p>
    <w:p>
      <w:pPr>
        <w:pStyle w:val="796"/>
        <w:pBdr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/>
          <w:bCs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lang w:eastAsia="pl-PL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ff3333"/>
          <w:sz w:val="20"/>
          <w:szCs w:val="20"/>
          <w:lang w:eastAsia="pl-PL"/>
          <w14:ligatures w14:val="none"/>
        </w:rPr>
        <w:t xml:space="preserve">BRANIEWO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0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Rozdział 11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0"/>
        </w:numPr>
        <w:pBdr/>
        <w:spacing w:after="0" w:before="0" w:line="240" w:lineRule="auto"/>
        <w:ind/>
        <w:jc w:val="both"/>
        <w:outlineLvl w:val="1"/>
        <w:rPr/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Postanowienia końcowe</w:t>
      </w:r>
      <w:r/>
    </w:p>
    <w:p>
      <w:pPr>
        <w:pStyle w:val="740"/>
        <w:numPr>
          <w:ilvl w:val="0"/>
          <w:numId w:val="0"/>
        </w:numPr>
        <w:pBdr/>
        <w:spacing w:afterAutospacing="1" w:beforeAutospacing="1" w:line="240" w:lineRule="auto"/>
        <w:ind/>
        <w:jc w:val="center"/>
        <w:outlineLvl w:val="2"/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  <w:t xml:space="preserve">§ 13.</w:t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b/>
          <w:bCs/>
          <w:lang w:eastAsia="pl-PL"/>
          <w14:ligatures w14:val="none"/>
        </w:rPr>
      </w:r>
    </w:p>
    <w:p>
      <w:pPr>
        <w:pStyle w:val="740"/>
        <w:numPr>
          <w:ilvl w:val="0"/>
          <w:numId w:val="18"/>
        </w:numPr>
        <w:pBdr/>
        <w:spacing w:after="0" w:beforeAutospacing="1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Program ma charakter ramowy i określa podstawowe kierunki współpracy Gminy Braniewo z organizacjami pozarządowymi w latach 2027–2031.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8"/>
        </w:numPr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Szczegółowe warunki zleca</w:t>
      </w: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nia realizacji poszczególnych zadań publicznych, w tym terminy, warunki realizacji, wysokość środków oraz zasady rozliczania, określają obowiązujące przepisy prawa, ogłoszenia o otwartych konkursach ofert oraz umowy zawierane z organizacjami pozarządowymi.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numPr>
          <w:ilvl w:val="0"/>
          <w:numId w:val="18"/>
        </w:numPr>
        <w:pBdr/>
        <w:spacing w:afterAutospacing="1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  <w:t xml:space="preserve">W sprawach nieuregulowanych w Programie stosuje się przepisy ustawy oraz inne właściwe przepisy prawa.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96"/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color w:val="ff0000"/>
          <w:sz w:val="20"/>
          <w:lang w:eastAsia="pl-PL"/>
          <w14:ligatures w14:val="none"/>
        </w:rPr>
        <w:t xml:space="preserve">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pBdr/>
        <w:spacing w:after="0" w:before="0" w:line="240" w:lineRule="auto"/>
        <w:ind/>
        <w:jc w:val="right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p>
      <w:pPr>
        <w:pStyle w:val="740"/>
        <w:pBdr/>
        <w:spacing w:after="0" w:before="0" w:line="240" w:lineRule="auto"/>
        <w:ind/>
        <w:jc w:val="both"/>
        <w:rPr>
          <w:rFonts w:ascii="Times New Roman" w:hAnsi="Times New Roman" w:eastAsia="Times New Roman" w:cs="Times New Roman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  <w:r>
        <w:rPr>
          <w:rFonts w:ascii="Times New Roman" w:hAnsi="Times New Roman" w:eastAsia="Times New Roman" w:cs="Times New Roman"/>
          <w:lang w:eastAsia="pl-PL"/>
          <w14:ligatures w14:val="none"/>
        </w:rPr>
      </w:r>
    </w:p>
    <w:sectPr>
      <w:footnotePr/>
      <w:endnotePr/>
      <w:type w:val="nextPage"/>
      <w:pgSz w:h="16838" w:orient="portrait" w:w="11906"/>
      <w:pgMar w:top="555" w:right="1417" w:bottom="1418" w:left="1417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Liberation Sans">
    <w:panose1 w:val="020B0604020202020204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tru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">
    <w:lvl w:ilvl="0">
      <w:isLgl w:val="tru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">
    <w:lvl w:ilvl="0">
      <w:isLgl w:val="tru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">
    <w:lvl w:ilvl="0">
      <w:isLgl w:val="tru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4">
    <w:lvl w:ilvl="0">
      <w:isLgl w:val="tru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5">
    <w:lvl w:ilvl="0">
      <w:isLgl w:val="tru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6">
    <w:lvl w:ilvl="0">
      <w:isLgl w:val="tru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3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7">
    <w:lvl w:ilvl="0">
      <w:isLgl w:val="tru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8">
    <w:lvl w:ilvl="0">
      <w:isLgl w:val="tru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9">
    <w:lvl w:ilvl="0">
      <w:isLgl w:val="tru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3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0">
    <w:lvl w:ilvl="0">
      <w:isLgl w:val="tru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1">
    <w:lvl w:ilvl="0">
      <w:isLgl w:val="tru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2">
    <w:lvl w:ilvl="0">
      <w:isLgl w:val="tru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3">
    <w:lvl w:ilvl="0">
      <w:isLgl w:val="tru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Calibri" w:hAnsi="Calibri" w:eastAsia="Calibri" w:cs="Arial" w:asciiTheme="minorHAnsi" w:hAnsiTheme="minorHAnsi" w:eastAsiaTheme="minorHAnsi" w:cstheme="minorBidi"/>
      </w:rPr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4">
    <w:lvl w:ilvl="0">
      <w:isLgl w:val="tru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5">
    <w:lvl w:ilvl="0">
      <w:isLgl w:val="tru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6">
    <w:lvl w:ilvl="0">
      <w:isLgl w:val="tru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7">
    <w:lvl w:ilvl="0">
      <w:isLgl w:val="tru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8"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pl-PL" w:eastAsia="en-US" w:bidi="ar-SA"/>
        <w14:ligatures w14:val="standardContextual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39" w:default="1">
    <w:name w:val="No List"/>
    <w:uiPriority w:val="99"/>
    <w:semiHidden/>
    <w:unhideWhenUsed/>
    <w:pPr>
      <w:pBdr/>
      <w:spacing/>
      <w:ind/>
    </w:pPr>
  </w:style>
  <w:style w:type="paragraph" w:styleId="740" w:default="1">
    <w:name w:val="Normal"/>
    <w:qFormat/>
    <w:pPr>
      <w:widowControl w:val="true"/>
      <w:pBdr/>
      <w:bidi w:val="false"/>
      <w:spacing w:after="160" w:afterAutospacing="0" w:before="0" w:beforeAutospacing="0" w:line="278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4"/>
      <w:szCs w:val="24"/>
      <w:lang w:val="pl-PL" w:eastAsia="en-US" w:bidi="ar-SA"/>
      <w14:ligatures w14:val="standardContextual"/>
    </w:rPr>
  </w:style>
  <w:style w:type="paragraph" w:styleId="741">
    <w:name w:val="Heading 1"/>
    <w:basedOn w:val="740"/>
    <w:next w:val="740"/>
    <w:link w:val="78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Calibri Light" w:hAnsi="Calibri Light" w:eastAsia="Arial" w:cs="Arial"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742">
    <w:name w:val="Heading 2"/>
    <w:basedOn w:val="740"/>
    <w:next w:val="740"/>
    <w:link w:val="781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Calibri Light" w:hAnsi="Calibri Light" w:eastAsia="Arial" w:cs="Arial"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743">
    <w:name w:val="Heading 3"/>
    <w:basedOn w:val="740"/>
    <w:next w:val="740"/>
    <w:link w:val="78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="Arial" w:cs="Arial" w:eastAsiaTheme="majorEastAsia" w:cstheme="majorBidi"/>
      <w:color w:val="2f5496" w:themeColor="accent1" w:themeShade="BF"/>
      <w:sz w:val="28"/>
      <w:szCs w:val="28"/>
    </w:rPr>
  </w:style>
  <w:style w:type="paragraph" w:styleId="744">
    <w:name w:val="Heading 4"/>
    <w:basedOn w:val="740"/>
    <w:next w:val="740"/>
    <w:link w:val="783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="Arial" w:cs="Arial" w:eastAsiaTheme="majorEastAsia" w:cstheme="majorBidi"/>
      <w:i/>
      <w:iCs/>
      <w:color w:val="2f5496" w:themeColor="accent1" w:themeShade="BF"/>
    </w:rPr>
  </w:style>
  <w:style w:type="paragraph" w:styleId="745">
    <w:name w:val="Heading 5"/>
    <w:basedOn w:val="740"/>
    <w:next w:val="740"/>
    <w:link w:val="784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="Arial" w:cs="Arial" w:eastAsiaTheme="majorEastAsia" w:cstheme="majorBidi"/>
      <w:color w:val="2f5496" w:themeColor="accent1" w:themeShade="BF"/>
    </w:rPr>
  </w:style>
  <w:style w:type="paragraph" w:styleId="746">
    <w:name w:val="Heading 6"/>
    <w:basedOn w:val="740"/>
    <w:next w:val="740"/>
    <w:link w:val="785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="Arial" w:cs="Arial" w:eastAsiaTheme="majorEastAsia" w:cstheme="majorBidi"/>
      <w:i/>
      <w:iCs/>
      <w:color w:val="595959" w:themeColor="text1" w:themeTint="A6"/>
    </w:rPr>
  </w:style>
  <w:style w:type="paragraph" w:styleId="747">
    <w:name w:val="Heading 7"/>
    <w:basedOn w:val="740"/>
    <w:next w:val="740"/>
    <w:link w:val="786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="Arial" w:cs="Arial" w:eastAsiaTheme="majorEastAsia" w:cstheme="majorBidi"/>
      <w:color w:val="595959" w:themeColor="text1" w:themeTint="A6"/>
    </w:rPr>
  </w:style>
  <w:style w:type="paragraph" w:styleId="748">
    <w:name w:val="Heading 8"/>
    <w:basedOn w:val="740"/>
    <w:next w:val="740"/>
    <w:link w:val="787"/>
    <w:uiPriority w:val="9"/>
    <w:semiHidden/>
    <w:unhideWhenUsed/>
    <w:qFormat/>
    <w:pPr>
      <w:keepNext w:val="true"/>
      <w:keepLines w:val="true"/>
      <w:pBdr/>
      <w:spacing w:after="0" w:before="0"/>
      <w:ind/>
      <w:outlineLvl w:val="7"/>
    </w:pPr>
    <w:rPr>
      <w:rFonts w:eastAsia="Arial" w:cs="Arial" w:eastAsiaTheme="majorEastAsia" w:cstheme="majorBidi"/>
      <w:i/>
      <w:iCs/>
      <w:color w:val="272727" w:themeColor="text1" w:themeTint="D8"/>
    </w:rPr>
  </w:style>
  <w:style w:type="paragraph" w:styleId="749">
    <w:name w:val="Heading 9"/>
    <w:basedOn w:val="740"/>
    <w:next w:val="740"/>
    <w:link w:val="788"/>
    <w:uiPriority w:val="9"/>
    <w:semiHidden/>
    <w:unhideWhenUsed/>
    <w:qFormat/>
    <w:pPr>
      <w:keepNext w:val="true"/>
      <w:keepLines w:val="true"/>
      <w:pBdr/>
      <w:spacing w:after="0" w:before="0"/>
      <w:ind/>
      <w:outlineLvl w:val="8"/>
    </w:pPr>
    <w:rPr>
      <w:rFonts w:eastAsia="Arial" w:cs="Arial" w:eastAsiaTheme="majorEastAsia" w:cstheme="majorBidi"/>
      <w:color w:val="272727" w:themeColor="text1" w:themeTint="D8"/>
    </w:rPr>
  </w:style>
  <w:style w:type="character" w:styleId="750">
    <w:name w:val="Heading 1 Char"/>
    <w:basedOn w:val="77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51">
    <w:name w:val="Heading 2 Char"/>
    <w:basedOn w:val="77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52">
    <w:name w:val="Heading 3 Char"/>
    <w:basedOn w:val="77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53">
    <w:name w:val="Heading 4 Char"/>
    <w:basedOn w:val="779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54">
    <w:name w:val="Heading 5 Char"/>
    <w:basedOn w:val="77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55">
    <w:name w:val="Heading 6 Char"/>
    <w:basedOn w:val="779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56">
    <w:name w:val="Heading 7 Char"/>
    <w:basedOn w:val="779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57">
    <w:name w:val="Heading 8 Char"/>
    <w:basedOn w:val="779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8">
    <w:name w:val="Heading 9 Char"/>
    <w:basedOn w:val="779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9">
    <w:name w:val="Title Char"/>
    <w:basedOn w:val="779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60">
    <w:name w:val="Subtitle Char"/>
    <w:basedOn w:val="779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61">
    <w:name w:val="Quote Char"/>
    <w:basedOn w:val="779"/>
    <w:link w:val="820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62">
    <w:name w:val="Intense Quote Char"/>
    <w:basedOn w:val="779"/>
    <w:link w:val="822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63">
    <w:name w:val="Subtle Emphasis"/>
    <w:basedOn w:val="77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64">
    <w:name w:val="Emphasis"/>
    <w:basedOn w:val="779"/>
    <w:uiPriority w:val="20"/>
    <w:qFormat/>
    <w:pPr>
      <w:pBdr/>
      <w:spacing/>
      <w:ind/>
    </w:pPr>
    <w:rPr>
      <w:i/>
      <w:iCs/>
    </w:rPr>
  </w:style>
  <w:style w:type="character" w:styleId="765">
    <w:name w:val="Strong"/>
    <w:basedOn w:val="779"/>
    <w:uiPriority w:val="22"/>
    <w:qFormat/>
    <w:pPr>
      <w:pBdr/>
      <w:spacing/>
      <w:ind/>
    </w:pPr>
    <w:rPr>
      <w:b/>
      <w:bCs/>
    </w:rPr>
  </w:style>
  <w:style w:type="character" w:styleId="766">
    <w:name w:val="Subtle Reference"/>
    <w:basedOn w:val="77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67">
    <w:name w:val="Book Title"/>
    <w:basedOn w:val="77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68">
    <w:name w:val="Header Char"/>
    <w:basedOn w:val="779"/>
    <w:uiPriority w:val="99"/>
    <w:qFormat/>
    <w:pPr>
      <w:pBdr/>
      <w:spacing/>
      <w:ind/>
    </w:pPr>
  </w:style>
  <w:style w:type="character" w:styleId="769">
    <w:name w:val="Footer Char"/>
    <w:basedOn w:val="779"/>
    <w:uiPriority w:val="99"/>
    <w:qFormat/>
    <w:pPr>
      <w:pBdr/>
      <w:spacing/>
      <w:ind/>
    </w:pPr>
  </w:style>
  <w:style w:type="character" w:styleId="770">
    <w:name w:val="Footnote Text Char"/>
    <w:basedOn w:val="779"/>
    <w:uiPriority w:val="99"/>
    <w:semiHidden/>
    <w:qFormat/>
    <w:pPr>
      <w:pBdr/>
      <w:spacing/>
      <w:ind/>
    </w:pPr>
    <w:rPr>
      <w:sz w:val="20"/>
      <w:szCs w:val="20"/>
    </w:rPr>
  </w:style>
  <w:style w:type="character" w:styleId="771">
    <w:name w:val="Znaki przypisów dolnych"/>
    <w:basedOn w:val="779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2">
    <w:name w:val="footnote reference"/>
    <w:pPr>
      <w:pBdr/>
      <w:spacing/>
      <w:ind/>
    </w:pPr>
    <w:rPr>
      <w:vertAlign w:val="superscript"/>
    </w:rPr>
  </w:style>
  <w:style w:type="character" w:styleId="773">
    <w:name w:val="Endnote Text Char"/>
    <w:basedOn w:val="779"/>
    <w:uiPriority w:val="99"/>
    <w:semiHidden/>
    <w:qFormat/>
    <w:pPr>
      <w:pBdr/>
      <w:spacing/>
      <w:ind/>
    </w:pPr>
    <w:rPr>
      <w:sz w:val="20"/>
      <w:szCs w:val="20"/>
    </w:rPr>
  </w:style>
  <w:style w:type="character" w:styleId="774">
    <w:name w:val="Znaki przypisów końcowych"/>
    <w:basedOn w:val="779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5">
    <w:name w:val="endnote reference"/>
    <w:pPr>
      <w:pBdr/>
      <w:spacing/>
      <w:ind/>
    </w:pPr>
    <w:rPr>
      <w:vertAlign w:val="superscript"/>
    </w:rPr>
  </w:style>
  <w:style w:type="character" w:styleId="776">
    <w:name w:val="Hyperlink"/>
    <w:basedOn w:val="77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77">
    <w:name w:val="FollowedHyperlink"/>
    <w:basedOn w:val="77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78">
    <w:name w:val="Placeholder Text"/>
    <w:basedOn w:val="779"/>
    <w:uiPriority w:val="99"/>
    <w:semiHidden/>
    <w:qFormat/>
    <w:pPr>
      <w:pBdr/>
      <w:spacing/>
      <w:ind/>
    </w:pPr>
    <w:rPr>
      <w:color w:val="666666"/>
    </w:rPr>
  </w:style>
  <w:style w:type="character" w:styleId="779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80" w:customStyle="1">
    <w:name w:val="Nagłówek 1 Znak"/>
    <w:basedOn w:val="779"/>
    <w:uiPriority w:val="9"/>
    <w:qFormat/>
    <w:pPr>
      <w:pBdr/>
      <w:spacing/>
      <w:ind/>
    </w:pPr>
    <w:rPr>
      <w:rFonts w:ascii="Calibri Light" w:hAnsi="Calibri Light" w:eastAsia="Arial" w:cs="Arial"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781" w:customStyle="1">
    <w:name w:val="Nagłówek 2 Znak"/>
    <w:basedOn w:val="779"/>
    <w:uiPriority w:val="9"/>
    <w:semiHidden/>
    <w:qFormat/>
    <w:pPr>
      <w:pBdr/>
      <w:spacing/>
      <w:ind/>
    </w:pPr>
    <w:rPr>
      <w:rFonts w:ascii="Calibri Light" w:hAnsi="Calibri Light" w:eastAsia="Arial" w:cs="Arial"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782" w:customStyle="1">
    <w:name w:val="Nagłówek 3 Znak"/>
    <w:basedOn w:val="779"/>
    <w:uiPriority w:val="9"/>
    <w:qFormat/>
    <w:pPr>
      <w:pBdr/>
      <w:spacing/>
      <w:ind/>
    </w:pPr>
    <w:rPr>
      <w:rFonts w:eastAsia="Arial" w:cs="Arial" w:eastAsiaTheme="majorEastAsia" w:cstheme="majorBidi"/>
      <w:color w:val="2f5496" w:themeColor="accent1" w:themeShade="BF"/>
      <w:sz w:val="28"/>
      <w:szCs w:val="28"/>
    </w:rPr>
  </w:style>
  <w:style w:type="character" w:styleId="783" w:customStyle="1">
    <w:name w:val="Nagłówek 4 Znak"/>
    <w:basedOn w:val="779"/>
    <w:uiPriority w:val="9"/>
    <w:semiHidden/>
    <w:qFormat/>
    <w:pPr>
      <w:pBdr/>
      <w:spacing/>
      <w:ind/>
    </w:pPr>
    <w:rPr>
      <w:rFonts w:eastAsia="Arial" w:cs="Arial" w:eastAsiaTheme="majorEastAsia" w:cstheme="majorBidi"/>
      <w:i/>
      <w:iCs/>
      <w:color w:val="2f5496" w:themeColor="accent1" w:themeShade="BF"/>
    </w:rPr>
  </w:style>
  <w:style w:type="character" w:styleId="784" w:customStyle="1">
    <w:name w:val="Nagłówek 5 Znak"/>
    <w:basedOn w:val="779"/>
    <w:uiPriority w:val="9"/>
    <w:semiHidden/>
    <w:qFormat/>
    <w:pPr>
      <w:pBdr/>
      <w:spacing/>
      <w:ind/>
    </w:pPr>
    <w:rPr>
      <w:rFonts w:eastAsia="Arial" w:cs="Arial" w:eastAsiaTheme="majorEastAsia" w:cstheme="majorBidi"/>
      <w:color w:val="2f5496" w:themeColor="accent1" w:themeShade="BF"/>
    </w:rPr>
  </w:style>
  <w:style w:type="character" w:styleId="785" w:customStyle="1">
    <w:name w:val="Nagłówek 6 Znak"/>
    <w:basedOn w:val="779"/>
    <w:uiPriority w:val="9"/>
    <w:semiHidden/>
    <w:qFormat/>
    <w:pPr>
      <w:pBdr/>
      <w:spacing/>
      <w:ind/>
    </w:pPr>
    <w:rPr>
      <w:rFonts w:eastAsia="Arial" w:cs="Arial" w:eastAsiaTheme="majorEastAsia" w:cstheme="majorBidi"/>
      <w:i/>
      <w:iCs/>
      <w:color w:val="595959" w:themeColor="text1" w:themeTint="A6"/>
    </w:rPr>
  </w:style>
  <w:style w:type="character" w:styleId="786" w:customStyle="1">
    <w:name w:val="Nagłówek 7 Znak"/>
    <w:basedOn w:val="779"/>
    <w:uiPriority w:val="9"/>
    <w:semiHidden/>
    <w:qFormat/>
    <w:pPr>
      <w:pBdr/>
      <w:spacing/>
      <w:ind/>
    </w:pPr>
    <w:rPr>
      <w:rFonts w:eastAsia="Arial" w:cs="Arial" w:eastAsiaTheme="majorEastAsia" w:cstheme="majorBidi"/>
      <w:color w:val="595959" w:themeColor="text1" w:themeTint="A6"/>
    </w:rPr>
  </w:style>
  <w:style w:type="character" w:styleId="787" w:customStyle="1">
    <w:name w:val="Nagłówek 8 Znak"/>
    <w:basedOn w:val="779"/>
    <w:uiPriority w:val="9"/>
    <w:semiHidden/>
    <w:qFormat/>
    <w:pPr>
      <w:pBdr/>
      <w:spacing/>
      <w:ind/>
    </w:pPr>
    <w:rPr>
      <w:rFonts w:eastAsia="Arial" w:cs="Arial" w:eastAsiaTheme="majorEastAsia" w:cstheme="majorBidi"/>
      <w:i/>
      <w:iCs/>
      <w:color w:val="272727" w:themeColor="text1" w:themeTint="D8"/>
    </w:rPr>
  </w:style>
  <w:style w:type="character" w:styleId="788" w:customStyle="1">
    <w:name w:val="Nagłówek 9 Znak"/>
    <w:basedOn w:val="779"/>
    <w:uiPriority w:val="9"/>
    <w:semiHidden/>
    <w:qFormat/>
    <w:pPr>
      <w:pBdr/>
      <w:spacing/>
      <w:ind/>
    </w:pPr>
    <w:rPr>
      <w:rFonts w:eastAsia="Arial" w:cs="Arial" w:eastAsiaTheme="majorEastAsia" w:cstheme="majorBidi"/>
      <w:color w:val="272727" w:themeColor="text1" w:themeTint="D8"/>
    </w:rPr>
  </w:style>
  <w:style w:type="character" w:styleId="789" w:customStyle="1">
    <w:name w:val="Tytuł Znak"/>
    <w:basedOn w:val="779"/>
    <w:uiPriority w:val="10"/>
    <w:qFormat/>
    <w:pPr>
      <w:pBdr/>
      <w:spacing/>
      <w:ind/>
    </w:pPr>
    <w:rPr>
      <w:rFonts w:ascii="Calibri Light" w:hAnsi="Calibri Light" w:eastAsia="Arial" w:cs="Arial" w:asciiTheme="majorHAnsi" w:hAnsiTheme="majorHAnsi" w:eastAsiaTheme="majorEastAsia" w:cstheme="majorBidi"/>
      <w:spacing w:val="-10"/>
      <w:sz w:val="56"/>
      <w:szCs w:val="56"/>
    </w:rPr>
  </w:style>
  <w:style w:type="character" w:styleId="790" w:customStyle="1">
    <w:name w:val="Podtytuł Znak"/>
    <w:basedOn w:val="779"/>
    <w:uiPriority w:val="11"/>
    <w:qFormat/>
    <w:pPr>
      <w:pBdr/>
      <w:spacing/>
      <w:ind/>
    </w:pPr>
    <w:rPr>
      <w:rFonts w:eastAsia="Arial" w:cs="Arial" w:eastAsiaTheme="majorEastAsia" w:cstheme="majorBidi"/>
      <w:color w:val="595959" w:themeColor="text1" w:themeTint="A6"/>
      <w:spacing w:val="15"/>
      <w:sz w:val="28"/>
      <w:szCs w:val="28"/>
    </w:rPr>
  </w:style>
  <w:style w:type="character" w:styleId="791" w:customStyle="1">
    <w:name w:val="Cytat Znak"/>
    <w:basedOn w:val="779"/>
    <w:link w:val="820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92">
    <w:name w:val="Intense Emphasis"/>
    <w:basedOn w:val="779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character" w:styleId="793" w:customStyle="1">
    <w:name w:val="Cytat intensywny Znak"/>
    <w:basedOn w:val="779"/>
    <w:link w:val="822"/>
    <w:uiPriority w:val="30"/>
    <w:qFormat/>
    <w:pPr>
      <w:pBdr/>
      <w:spacing/>
      <w:ind/>
    </w:pPr>
    <w:rPr>
      <w:i/>
      <w:iCs/>
      <w:color w:val="2f5496" w:themeColor="accent1" w:themeShade="BF"/>
    </w:rPr>
  </w:style>
  <w:style w:type="character" w:styleId="794">
    <w:name w:val="Intense Reference"/>
    <w:basedOn w:val="779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paragraph" w:styleId="795">
    <w:name w:val="Nagłówek"/>
    <w:basedOn w:val="740"/>
    <w:next w:val="796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796">
    <w:name w:val="Body Text"/>
    <w:basedOn w:val="740"/>
    <w:pPr>
      <w:pBdr/>
      <w:spacing w:after="140" w:before="0" w:line="276" w:lineRule="auto"/>
      <w:ind/>
    </w:pPr>
  </w:style>
  <w:style w:type="paragraph" w:styleId="797">
    <w:name w:val="List"/>
    <w:basedOn w:val="796"/>
    <w:pPr>
      <w:pBdr/>
      <w:spacing/>
      <w:ind/>
    </w:pPr>
    <w:rPr>
      <w:rFonts w:cs="Arial"/>
    </w:rPr>
  </w:style>
  <w:style w:type="paragraph" w:styleId="798">
    <w:name w:val="Caption"/>
    <w:basedOn w:val="740"/>
    <w:next w:val="740"/>
    <w:uiPriority w:val="35"/>
    <w:unhideWhenUsed/>
    <w:qFormat/>
    <w:pPr>
      <w:pBdr/>
      <w:spacing w:after="200" w:before="0" w:line="240" w:lineRule="auto"/>
      <w:ind/>
    </w:pPr>
    <w:rPr>
      <w:i/>
      <w:iCs/>
      <w:color w:val="0e2841" w:themeColor="text2"/>
      <w:sz w:val="18"/>
      <w:szCs w:val="18"/>
    </w:rPr>
  </w:style>
  <w:style w:type="paragraph" w:styleId="799">
    <w:name w:val="Indeks"/>
    <w:basedOn w:val="740"/>
    <w:qFormat/>
    <w:pPr>
      <w:suppressLineNumbers w:val="true"/>
      <w:pBdr/>
      <w:spacing/>
      <w:ind/>
    </w:pPr>
    <w:rPr>
      <w:rFonts w:cs="Arial"/>
    </w:rPr>
  </w:style>
  <w:style w:type="paragraph" w:styleId="800">
    <w:name w:val="No Spacing"/>
    <w:basedOn w:val="740"/>
    <w:uiPriority w:val="1"/>
    <w:qFormat/>
    <w:pPr>
      <w:pBdr/>
      <w:spacing w:after="0" w:before="0" w:line="240" w:lineRule="auto"/>
      <w:ind/>
    </w:pPr>
  </w:style>
  <w:style w:type="paragraph" w:styleId="801">
    <w:name w:val="Główka i stopka"/>
    <w:basedOn w:val="740"/>
    <w:qFormat/>
    <w:pPr>
      <w:pBdr/>
      <w:spacing/>
      <w:ind/>
    </w:pPr>
  </w:style>
  <w:style w:type="paragraph" w:styleId="802">
    <w:name w:val="Header"/>
    <w:basedOn w:val="740"/>
    <w:link w:val="768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03">
    <w:name w:val="Footer"/>
    <w:basedOn w:val="740"/>
    <w:link w:val="769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04">
    <w:name w:val="footnote text"/>
    <w:basedOn w:val="740"/>
    <w:link w:val="770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05">
    <w:name w:val="endnote text"/>
    <w:basedOn w:val="740"/>
    <w:link w:val="773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06">
    <w:name w:val="toc 1"/>
    <w:basedOn w:val="740"/>
    <w:next w:val="740"/>
    <w:uiPriority w:val="39"/>
    <w:unhideWhenUsed/>
    <w:pPr>
      <w:pBdr/>
      <w:spacing w:after="100" w:before="0"/>
      <w:ind/>
    </w:pPr>
  </w:style>
  <w:style w:type="paragraph" w:styleId="807">
    <w:name w:val="toc 2"/>
    <w:basedOn w:val="740"/>
    <w:next w:val="740"/>
    <w:uiPriority w:val="39"/>
    <w:unhideWhenUsed/>
    <w:pPr>
      <w:pBdr/>
      <w:spacing w:after="100" w:before="0"/>
      <w:ind w:left="220"/>
    </w:pPr>
  </w:style>
  <w:style w:type="paragraph" w:styleId="808">
    <w:name w:val="toc 3"/>
    <w:basedOn w:val="740"/>
    <w:next w:val="740"/>
    <w:uiPriority w:val="39"/>
    <w:unhideWhenUsed/>
    <w:pPr>
      <w:pBdr/>
      <w:spacing w:after="100" w:before="0"/>
      <w:ind w:left="440"/>
    </w:pPr>
  </w:style>
  <w:style w:type="paragraph" w:styleId="809">
    <w:name w:val="toc 4"/>
    <w:basedOn w:val="740"/>
    <w:next w:val="740"/>
    <w:uiPriority w:val="39"/>
    <w:unhideWhenUsed/>
    <w:pPr>
      <w:pBdr/>
      <w:spacing w:after="100" w:before="0"/>
      <w:ind w:left="660"/>
    </w:pPr>
  </w:style>
  <w:style w:type="paragraph" w:styleId="810">
    <w:name w:val="toc 5"/>
    <w:basedOn w:val="740"/>
    <w:next w:val="740"/>
    <w:uiPriority w:val="39"/>
    <w:unhideWhenUsed/>
    <w:pPr>
      <w:pBdr/>
      <w:spacing w:after="100" w:before="0"/>
      <w:ind w:left="880"/>
    </w:pPr>
  </w:style>
  <w:style w:type="paragraph" w:styleId="811">
    <w:name w:val="toc 6"/>
    <w:basedOn w:val="740"/>
    <w:next w:val="740"/>
    <w:uiPriority w:val="39"/>
    <w:unhideWhenUsed/>
    <w:pPr>
      <w:pBdr/>
      <w:spacing w:after="100" w:before="0"/>
      <w:ind w:left="1100"/>
    </w:pPr>
  </w:style>
  <w:style w:type="paragraph" w:styleId="812">
    <w:name w:val="toc 7"/>
    <w:basedOn w:val="740"/>
    <w:next w:val="740"/>
    <w:uiPriority w:val="39"/>
    <w:unhideWhenUsed/>
    <w:pPr>
      <w:pBdr/>
      <w:spacing w:after="100" w:before="0"/>
      <w:ind w:left="1320"/>
    </w:pPr>
  </w:style>
  <w:style w:type="paragraph" w:styleId="813">
    <w:name w:val="toc 8"/>
    <w:basedOn w:val="740"/>
    <w:next w:val="740"/>
    <w:uiPriority w:val="39"/>
    <w:unhideWhenUsed/>
    <w:pPr>
      <w:pBdr/>
      <w:spacing w:after="100" w:before="0"/>
      <w:ind w:left="1540"/>
    </w:pPr>
  </w:style>
  <w:style w:type="paragraph" w:styleId="814">
    <w:name w:val="toc 9"/>
    <w:basedOn w:val="740"/>
    <w:next w:val="740"/>
    <w:uiPriority w:val="39"/>
    <w:unhideWhenUsed/>
    <w:pPr>
      <w:pBdr/>
      <w:spacing w:after="100" w:before="0"/>
      <w:ind w:left="1760"/>
    </w:pPr>
  </w:style>
  <w:style w:type="paragraph" w:styleId="815">
    <w:name w:val="index heading"/>
    <w:basedOn w:val="795"/>
    <w:pPr>
      <w:pBdr/>
      <w:spacing/>
      <w:ind/>
    </w:pPr>
  </w:style>
  <w:style w:type="paragraph" w:styleId="816">
    <w:name w:val="TOC Heading"/>
    <w:uiPriority w:val="39"/>
    <w:unhideWhenUsed/>
    <w:qFormat/>
    <w:pPr>
      <w:widowControl w:val="true"/>
      <w:pBdr/>
      <w:bidi w:val="false"/>
      <w:spacing w:after="160" w:afterAutospacing="0" w:before="0" w:beforeAutospacing="0" w:line="278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4"/>
      <w:szCs w:val="24"/>
      <w:lang w:val="pl-PL" w:eastAsia="en-US" w:bidi="ar-SA"/>
      <w14:ligatures w14:val="standardContextual"/>
    </w:rPr>
  </w:style>
  <w:style w:type="paragraph" w:styleId="817">
    <w:name w:val="table of figures"/>
    <w:basedOn w:val="740"/>
    <w:next w:val="740"/>
    <w:uiPriority w:val="99"/>
    <w:unhideWhenUsed/>
    <w:pPr>
      <w:pBdr/>
      <w:spacing w:after="0" w:afterAutospacing="0" w:before="0"/>
      <w:ind/>
    </w:pPr>
  </w:style>
  <w:style w:type="paragraph" w:styleId="818">
    <w:name w:val="Title"/>
    <w:basedOn w:val="740"/>
    <w:next w:val="740"/>
    <w:link w:val="789"/>
    <w:uiPriority w:val="10"/>
    <w:qFormat/>
    <w:pPr>
      <w:pBdr/>
      <w:spacing w:after="80" w:before="0" w:line="240" w:lineRule="auto"/>
      <w:ind/>
      <w:contextualSpacing w:val="true"/>
    </w:pPr>
    <w:rPr>
      <w:rFonts w:ascii="Calibri Light" w:hAnsi="Calibri Light" w:eastAsia="Arial" w:cs="Arial" w:asciiTheme="majorHAnsi" w:hAnsiTheme="majorHAnsi" w:eastAsiaTheme="majorEastAsia" w:cstheme="majorBidi"/>
      <w:spacing w:val="-10"/>
      <w:sz w:val="56"/>
      <w:szCs w:val="56"/>
    </w:rPr>
  </w:style>
  <w:style w:type="paragraph" w:styleId="819">
    <w:name w:val="Subtitle"/>
    <w:basedOn w:val="740"/>
    <w:next w:val="740"/>
    <w:link w:val="790"/>
    <w:uiPriority w:val="11"/>
    <w:qFormat/>
    <w:pPr>
      <w:pBdr/>
      <w:spacing/>
      <w:ind/>
    </w:pPr>
    <w:rPr>
      <w:rFonts w:eastAsia="Arial" w:cs="Arial" w:eastAsiaTheme="majorEastAsia" w:cstheme="majorBidi"/>
      <w:color w:val="595959" w:themeColor="text1" w:themeTint="A6"/>
      <w:spacing w:val="15"/>
      <w:sz w:val="28"/>
      <w:szCs w:val="28"/>
    </w:rPr>
  </w:style>
  <w:style w:type="paragraph" w:styleId="820">
    <w:name w:val="Quote"/>
    <w:basedOn w:val="740"/>
    <w:next w:val="740"/>
    <w:link w:val="791"/>
    <w:uiPriority w:val="29"/>
    <w:qFormat/>
    <w:pPr>
      <w:pBdr/>
      <w:spacing w:after="160" w:before="160"/>
      <w:ind/>
      <w:jc w:val="center"/>
    </w:pPr>
    <w:rPr>
      <w:i/>
      <w:iCs/>
      <w:color w:val="404040" w:themeColor="text1" w:themeTint="BF"/>
    </w:rPr>
  </w:style>
  <w:style w:type="paragraph" w:styleId="821">
    <w:name w:val="List Paragraph"/>
    <w:basedOn w:val="740"/>
    <w:uiPriority w:val="34"/>
    <w:qFormat/>
    <w:pPr>
      <w:pBdr/>
      <w:spacing w:after="160" w:before="0"/>
      <w:ind w:left="720"/>
      <w:contextualSpacing w:val="true"/>
    </w:pPr>
  </w:style>
  <w:style w:type="paragraph" w:styleId="822">
    <w:name w:val="Intense Quote"/>
    <w:basedOn w:val="740"/>
    <w:next w:val="740"/>
    <w:link w:val="793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paragraph" w:styleId="823" w:customStyle="1">
    <w:name w:val="Default"/>
    <w:qFormat/>
    <w:pPr>
      <w:widowControl w:val="true"/>
      <w:pBdr/>
      <w:bidi w:val="false"/>
      <w:spacing w:after="0" w:afterAutospacing="0" w:before="0" w:beforeAutospacing="0" w:line="240" w:lineRule="auto"/>
      <w:ind/>
      <w:jc w:val="left"/>
    </w:pPr>
    <w:rPr>
      <w:rFonts w:ascii="Times New Roman" w:hAnsi="Times New Roman" w:eastAsia="Calibri" w:cs="Times New Roman"/>
      <w:color w:val="000000"/>
      <w:sz w:val="24"/>
      <w:szCs w:val="24"/>
      <w:lang w:val="pl-PL" w:eastAsia="en-US" w:bidi="ar-SA"/>
    </w:rPr>
  </w:style>
  <w:style w:type="paragraph" w:styleId="824">
    <w:name w:val="Normal (Web)"/>
    <w:basedOn w:val="740"/>
    <w:uiPriority w:val="99"/>
    <w:semiHidden/>
    <w:unhideWhenUsed/>
    <w:qFormat/>
    <w:pPr>
      <w:pBdr/>
      <w:spacing w:afterAutospacing="1" w:beforeAutospacing="1" w:line="240" w:lineRule="auto"/>
      <w:ind/>
    </w:pPr>
    <w:rPr>
      <w:rFonts w:ascii="Times New Roman" w:hAnsi="Times New Roman" w:eastAsia="Times New Roman" w:cs="Times New Roman"/>
      <w:lang w:eastAsia="pl-PL"/>
      <w14:ligatures w14:val="none"/>
    </w:rPr>
  </w:style>
  <w:style w:type="numbering" w:styleId="825">
    <w:name w:val="Bez listy"/>
    <w:uiPriority w:val="99"/>
    <w:semiHidden/>
    <w:unhideWhenUsed/>
    <w:qFormat/>
    <w:pPr>
      <w:pBdr/>
      <w:spacing/>
      <w:ind/>
    </w:pPr>
  </w:style>
  <w:style w:type="table" w:styleId="826">
    <w:name w:val="Table Grid"/>
    <w:basedOn w:val="952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Table Grid Light"/>
    <w:basedOn w:val="952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Plain Table 1"/>
    <w:basedOn w:val="952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Plain Table 2"/>
    <w:basedOn w:val="952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Plain Table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Plain Table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Plain Table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1 Light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1 Light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1 Light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1 Light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1 Light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1 Light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1 Light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2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2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2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2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2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2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3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3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3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3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3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3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4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4 - Accent 1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4 - Accent 2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4 - Accent 3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4 - Accent 4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4 - Accent 5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4 - Accent 6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5 Dark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5 Dark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5 Dark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5 Dark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5 Dark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5 Dark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5 Dark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6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6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6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6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6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6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6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7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7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7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7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7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7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7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1 Light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1 Light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1 Light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1 Light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1 Light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1 Light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1 Light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2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2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2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2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2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2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3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3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3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3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3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3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4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4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4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4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4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4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5 Dark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5 Dark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5 Dark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5 Dark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5 Dark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5 Dark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5 Dark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6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6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6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6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6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6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6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7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7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7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7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7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7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7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ned - Accent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ned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ned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ned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ned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ned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ned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Bordered &amp; Lined - Accent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Bordered &amp; Lined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Bordered &amp; Lined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Bordered &amp; Lined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Bordered &amp; Lined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&amp; Lined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&amp; Lined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3" w:customStyle="1">
    <w:name w:val="Normalny (Web)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19" w:afterAutospacing="0" w:before="100" w:beforeAutospacing="0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l-PL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FF9E2237-A5C8-4BFE-AF6C-9383B907EC14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Reda</dc:creator>
  <dc:description/>
  <dc:language>pl-PL</dc:language>
  <cp:revision>22</cp:revision>
  <dcterms:created xsi:type="dcterms:W3CDTF">2026-09-02T09:28:00Z</dcterms:created>
  <dcterms:modified xsi:type="dcterms:W3CDTF">2026-10-01T08:17:22Z</dcterms:modified>
</cp:coreProperties>
</file>