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59" w:lineRule="auto"/>
        <w:jc w:val="right"/>
        <w:rPr>
          <w:rFonts w:ascii="Times New Roman" w:hAnsi="Times New Roman"/>
          <w:b/>
          <w:color w:val="00000a"/>
          <w:sz w:val="20"/>
          <w:szCs w:val="20"/>
        </w:rPr>
      </w:pPr>
      <w:r/>
      <w:bookmarkStart w:id="0" w:name="_GoBack"/>
      <w:bookmarkEnd w:id="0"/>
      <w:r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a"/>
          <w:sz w:val="20"/>
          <w:szCs w:val="20"/>
        </w:rPr>
        <w:t>ZAŁĄCZNIK NR 1</w:t>
      </w:r>
      <w:r>
        <w:rPr>
          <w:rFonts w:ascii="Times New Roman" w:hAnsi="Times New Roman"/>
          <w:b/>
          <w:color w:val="00000a"/>
          <w:sz w:val="20"/>
          <w:szCs w:val="20"/>
        </w:rPr>
      </w:r>
    </w:p>
    <w:p>
      <w:pPr>
        <w:spacing w:after="0" w:line="259" w:lineRule="auto"/>
        <w:jc w:val="right"/>
        <w:rPr>
          <w:rFonts w:ascii="Times New Roman" w:hAnsi="Times New Roman"/>
          <w:b/>
          <w:color w:val="00000a"/>
          <w:sz w:val="20"/>
          <w:szCs w:val="20"/>
        </w:rPr>
      </w:pPr>
      <w:r>
        <w:rPr>
          <w:rFonts w:ascii="Times New Roman" w:hAnsi="Times New Roman"/>
          <w:b/>
          <w:color w:val="00000a"/>
          <w:sz w:val="20"/>
          <w:szCs w:val="20"/>
        </w:rPr>
        <w:t xml:space="preserve">       DO UCHWAŁY NR 85/VIII/2019   </w:t>
      </w:r>
    </w:p>
    <w:p>
      <w:pPr>
        <w:spacing w:after="0" w:line="259" w:lineRule="auto"/>
        <w:jc w:val="right"/>
        <w:rPr>
          <w:rFonts w:ascii="Times New Roman" w:hAnsi="Times New Roman"/>
          <w:b/>
          <w:color w:val="00000a"/>
          <w:sz w:val="20"/>
          <w:szCs w:val="20"/>
        </w:rPr>
      </w:pPr>
      <w:r>
        <w:rPr>
          <w:rFonts w:ascii="Times New Roman" w:hAnsi="Times New Roman"/>
          <w:b/>
          <w:color w:val="00000a"/>
          <w:sz w:val="20"/>
          <w:szCs w:val="20"/>
        </w:rPr>
        <w:t>RADY GMINY BRANIEWO</w:t>
      </w:r>
    </w:p>
    <w:p>
      <w:pPr>
        <w:spacing w:after="0" w:line="259" w:lineRule="auto"/>
        <w:jc w:val="right"/>
        <w:rPr>
          <w:rFonts w:ascii="Times New Roman" w:hAnsi="Times New Roman"/>
          <w:b/>
          <w:color w:val="00000a"/>
          <w:sz w:val="20"/>
          <w:szCs w:val="20"/>
        </w:rPr>
      </w:pPr>
      <w:r>
        <w:rPr>
          <w:rFonts w:ascii="Times New Roman" w:hAnsi="Times New Roman"/>
          <w:b/>
          <w:color w:val="00000a"/>
          <w:sz w:val="20"/>
          <w:szCs w:val="20"/>
        </w:rPr>
        <w:t>Z DNIA 19 GRUDNIA 2019 ROK</w:t>
      </w:r>
    </w:p>
    <w:p>
      <w:pPr>
        <w:spacing w:after="0" w:line="259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both"/>
        <w:rPr>
          <w:rFonts w:cs="Calibri"/>
        </w:rPr>
      </w:pPr>
      <w:r>
        <w:rPr>
          <w:rFonts w:ascii="Times New Roman" w:hAnsi="Times New Roman"/>
          <w:b/>
          <w:sz w:val="24"/>
          <w:szCs w:val="24"/>
        </w:rPr>
        <w:t>Wieloletni program gospodarowania mieszkaniowym zasobem Gminy Braniewo na lata 2019-2023</w:t>
      </w:r>
      <w:r>
        <w:rPr>
          <w:rFonts w:cs="Calibri"/>
        </w:rPr>
      </w:r>
    </w:p>
    <w:p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</w:t>
      </w:r>
    </w:p>
    <w:p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dotyczy wielkości oraz stanu technicznego zasobu mieszkaniowego Gminy Braniewo w poszczególnych latach.</w:t>
      </w:r>
    </w:p>
    <w:p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59" w:lineRule="auto"/>
        <w:jc w:val="both"/>
        <w:rPr>
          <w:rFonts w:cs="Calibri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/>
          <w:sz w:val="24"/>
          <w:szCs w:val="24"/>
        </w:rPr>
        <w:t>W latach 2019-2023 przewiduje się:</w:t>
      </w:r>
      <w:r>
        <w:rPr>
          <w:rFonts w:cs="Calibri"/>
        </w:rPr>
      </w:r>
    </w:p>
    <w:p>
      <w:pPr>
        <w:numPr>
          <w:ilvl w:val="0"/>
          <w:numId w:val="10"/>
        </w:numPr>
        <w:ind w:left="720" w:hanging="360"/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sukcesywne poprawianie stanu budynków, szczególnie tych znajdujących się w złym stanie technicznym,</w:t>
      </w:r>
    </w:p>
    <w:p>
      <w:pPr>
        <w:numPr>
          <w:ilvl w:val="0"/>
          <w:numId w:val="10"/>
        </w:numPr>
        <w:ind w:left="720" w:hanging="360"/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łagodzenie deficytu lokali stanowiących mieszkaniowy zasób Gminy Braniewo,</w:t>
      </w:r>
    </w:p>
    <w:p>
      <w:pPr>
        <w:numPr>
          <w:ilvl w:val="0"/>
          <w:numId w:val="10"/>
        </w:numPr>
        <w:ind w:left="720" w:hanging="360"/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pomocy w formie zaspokojenia potrzeb mieszkaniowych dla osób i rodzin o najniższych dochodach.</w:t>
      </w:r>
    </w:p>
    <w:p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Gmina Braniewo przewiduje pozyskiwania nowych lokali najmu socjalnego i innych lokali  </w:t>
      </w:r>
    </w:p>
    <w:p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mieszkalnych poprzez budowę nowych budynków, zakup lub wynajem.</w:t>
      </w:r>
    </w:p>
    <w:p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/>
          <w:sz w:val="24"/>
          <w:szCs w:val="24"/>
        </w:rPr>
        <w:t xml:space="preserve">1. Zasób mieszkaniowy Gminy Braniewo ulegał będzie poprawie, w szczególności w </w:t>
      </w:r>
    </w:p>
    <w:p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zakresie koniecznych napraw w lokalach i budynkach.</w:t>
      </w:r>
    </w:p>
    <w:p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W zależności od stanu technicznego poszczególnych budynków realizowany będzie  </w:t>
      </w:r>
    </w:p>
    <w:p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różny zakres prac remontowych, wykonanych w kolejnych latach.</w:t>
      </w:r>
    </w:p>
    <w:p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4.</w:t>
      </w:r>
      <w:r>
        <w:rPr>
          <w:rFonts w:ascii="Times New Roman" w:hAnsi="Times New Roman"/>
          <w:sz w:val="24"/>
          <w:szCs w:val="24"/>
        </w:rPr>
        <w:t xml:space="preserve"> Zasób mieszkaniowy Gminy Braniewo i analizę liczbową określa tabela nr 1 </w:t>
      </w:r>
    </w:p>
    <w:p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59" w:lineRule="auto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>Tabela Nr 1. Analiza liczbowa lokali stanowiących zasób mieszkaniowy gminy:</w:t>
      </w:r>
      <w:r>
        <w:rPr>
          <w:rFonts w:cs="Calibri"/>
        </w:rPr>
      </w:r>
    </w:p>
    <w:p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leGrid"/>
        <w:name w:val="Table1"/>
        <w:tabOrder w:val="0"/>
        <w:jc w:val="left"/>
        <w:tblInd w:w="0" w:type="dxa"/>
        <w:tblW w:w="9351" w:type="dxa"/>
        <w:tblLook w:val="04A0" w:firstRow="1" w:lastRow="0" w:firstColumn="1" w:lastColumn="0" w:noHBand="0" w:noVBand="1"/>
      </w:tblPr>
      <w:tblGrid>
        <w:gridCol w:w="1483"/>
        <w:gridCol w:w="1097"/>
        <w:gridCol w:w="2377"/>
        <w:gridCol w:w="2472"/>
        <w:gridCol w:w="1922"/>
      </w:tblGrid>
      <w:tr>
        <w:trPr>
          <w:cantSplit w:val="0"/>
          <w:trHeight w:val="1504" w:hRule="atLeast"/>
        </w:trPr>
        <w:tc>
          <w:tcPr>
            <w:tcW w:w="1483" w:type="dxa"/>
            <w:tmTcPr id="1577776932" protected="0"/>
          </w:tcPr>
          <w:p>
            <w:pPr>
              <w:spacing w:after="0" w:line="240" w:lineRule="auto"/>
              <w:jc w:val="center"/>
              <w:suppressLineNumber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Położenie</w:t>
            </w:r>
          </w:p>
          <w:p>
            <w:pPr>
              <w:spacing w:after="0" w:line="240" w:lineRule="auto"/>
              <w:jc w:val="center"/>
              <w:suppressLineNumber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suppressLineNumber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Nr</w:t>
            </w:r>
          </w:p>
          <w:p>
            <w:pPr>
              <w:spacing w:after="0" w:line="259" w:lineRule="auto"/>
              <w:jc w:val="center"/>
              <w:suppressLineNumber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Budynku</w:t>
            </w:r>
          </w:p>
        </w:tc>
        <w:tc>
          <w:tcPr>
            <w:tcW w:w="2377" w:type="dxa"/>
            <w:tmTcPr id="1577776932" protected="0"/>
          </w:tcPr>
          <w:p>
            <w:pPr>
              <w:spacing w:line="240" w:lineRule="auto"/>
              <w:jc w:val="center"/>
              <w:suppressLineNumber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Liczba lokali będących własnością gminy</w:t>
            </w:r>
          </w:p>
        </w:tc>
        <w:tc>
          <w:tcPr>
            <w:tcW w:w="2472" w:type="dxa"/>
            <w:tmTcPr id="1577776932" protected="0"/>
          </w:tcPr>
          <w:p>
            <w:pPr>
              <w:spacing w:line="259" w:lineRule="auto"/>
              <w:jc w:val="center"/>
              <w:suppressLineNumber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Własność budynku</w:t>
            </w:r>
          </w:p>
          <w:p>
            <w:pPr>
              <w:spacing w:line="259" w:lineRule="auto"/>
              <w:jc w:val="center"/>
              <w:suppressLineNumber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22" w:type="dxa"/>
            <w:tmTcPr id="1577776932" protected="0"/>
          </w:tcPr>
          <w:p>
            <w:pPr>
              <w:spacing w:line="259" w:lineRule="auto"/>
              <w:jc w:val="center"/>
              <w:suppressLineNumber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Powierzchnia użytkowa lokali będących własnością gminy (m²)</w:t>
            </w:r>
          </w:p>
        </w:tc>
      </w:tr>
      <w:tr>
        <w:trPr>
          <w:cantSplit w:val="0"/>
          <w:trHeight w:val="290" w:hRule="atLeast"/>
        </w:trPr>
        <w:tc>
          <w:tcPr>
            <w:tcW w:w="1483" w:type="dxa"/>
            <w:vMerge w:val="restart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Bemowizna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17,00</w:t>
            </w:r>
          </w:p>
        </w:tc>
      </w:tr>
      <w:tr>
        <w:trPr>
          <w:cantSplit w:val="0"/>
          <w:trHeight w:val="22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49,36</w:t>
            </w:r>
          </w:p>
        </w:tc>
      </w:tr>
      <w:tr>
        <w:trPr>
          <w:cantSplit w:val="0"/>
          <w:trHeight w:val="240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197,44</w:t>
            </w:r>
          </w:p>
        </w:tc>
      </w:tr>
      <w:tr>
        <w:trPr>
          <w:cantSplit w:val="0"/>
          <w:trHeight w:val="510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Budynek socjalny własność gminy 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388,51</w:t>
            </w:r>
          </w:p>
        </w:tc>
      </w:tr>
      <w:tr>
        <w:trPr>
          <w:cantSplit w:val="0"/>
          <w:trHeight w:val="306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47,90</w:t>
            </w:r>
          </w:p>
        </w:tc>
      </w:tr>
      <w:tr>
        <w:trPr>
          <w:cantSplit w:val="0"/>
          <w:trHeight w:val="262" w:hRule="atLeast"/>
        </w:trPr>
        <w:tc>
          <w:tcPr>
            <w:tcW w:w="1483" w:type="dxa"/>
            <w:vMerge w:val="restart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Brzeszczyny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własność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67,35</w:t>
            </w:r>
          </w:p>
        </w:tc>
      </w:tr>
      <w:tr>
        <w:trPr>
          <w:cantSplit w:val="0"/>
          <w:trHeight w:val="300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własność gminy 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56,28</w:t>
            </w:r>
          </w:p>
        </w:tc>
      </w:tr>
      <w:tr>
        <w:trPr>
          <w:cantSplit w:val="0"/>
          <w:trHeight w:val="300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39,94</w:t>
            </w:r>
          </w:p>
        </w:tc>
      </w:tr>
      <w:tr>
        <w:trPr>
          <w:cantSplit w:val="0"/>
          <w:trHeight w:val="25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3+1 socjalny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170,05</w:t>
            </w:r>
          </w:p>
        </w:tc>
      </w:tr>
      <w:tr>
        <w:trPr>
          <w:cantSplit w:val="0"/>
          <w:trHeight w:val="28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113,14</w:t>
            </w:r>
          </w:p>
        </w:tc>
      </w:tr>
      <w:tr>
        <w:trPr>
          <w:cantSplit w:val="0"/>
          <w:trHeight w:val="330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własność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87,20</w:t>
            </w:r>
          </w:p>
        </w:tc>
      </w:tr>
      <w:tr>
        <w:trPr>
          <w:cantSplit w:val="0"/>
          <w:trHeight w:val="315" w:hRule="atLeast"/>
        </w:trPr>
        <w:tc>
          <w:tcPr>
            <w:tcW w:w="1483" w:type="dxa"/>
            <w:vMerge w:val="restart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Cielętnik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33,12</w:t>
            </w:r>
          </w:p>
        </w:tc>
      </w:tr>
      <w:tr>
        <w:trPr>
          <w:cantSplit w:val="0"/>
          <w:trHeight w:val="311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69,22</w:t>
            </w:r>
          </w:p>
        </w:tc>
      </w:tr>
      <w:tr>
        <w:trPr>
          <w:cantSplit w:val="0"/>
          <w:trHeight w:val="285" w:hRule="atLeast"/>
        </w:trPr>
        <w:tc>
          <w:tcPr>
            <w:tcW w:w="1483" w:type="dxa"/>
            <w:vMerge w:val="restart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Goleszewo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własność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225,60</w:t>
            </w:r>
          </w:p>
        </w:tc>
      </w:tr>
      <w:tr>
        <w:trPr>
          <w:cantSplit w:val="0"/>
          <w:trHeight w:val="25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własność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124,60</w:t>
            </w:r>
          </w:p>
        </w:tc>
      </w:tr>
      <w:tr>
        <w:trPr>
          <w:cantSplit w:val="0"/>
          <w:trHeight w:val="266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233,20</w:t>
            </w:r>
          </w:p>
        </w:tc>
      </w:tr>
      <w:tr>
        <w:trPr>
          <w:cantSplit w:val="0"/>
          <w:trHeight w:val="258" w:hRule="atLeast"/>
        </w:trPr>
        <w:tc>
          <w:tcPr>
            <w:tcW w:w="1483" w:type="dxa"/>
            <w:vMerge w:val="restart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Gronówko 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współwłasność 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84,00</w:t>
            </w:r>
          </w:p>
        </w:tc>
      </w:tr>
      <w:tr>
        <w:trPr>
          <w:cantSplit w:val="0"/>
          <w:trHeight w:val="28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142,50</w:t>
            </w:r>
          </w:p>
        </w:tc>
      </w:tr>
      <w:tr>
        <w:trPr>
          <w:cantSplit w:val="0"/>
          <w:trHeight w:val="240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67,90</w:t>
            </w:r>
          </w:p>
        </w:tc>
      </w:tr>
      <w:tr>
        <w:trPr>
          <w:cantSplit w:val="0"/>
          <w:trHeight w:val="25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65,10</w:t>
            </w:r>
          </w:p>
        </w:tc>
      </w:tr>
      <w:tr>
        <w:trPr>
          <w:cantSplit w:val="0"/>
          <w:trHeight w:val="270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101,00</w:t>
            </w:r>
          </w:p>
        </w:tc>
      </w:tr>
      <w:tr>
        <w:trPr>
          <w:cantSplit w:val="0"/>
          <w:trHeight w:val="270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111,20</w:t>
            </w:r>
          </w:p>
        </w:tc>
      </w:tr>
      <w:tr>
        <w:trPr>
          <w:cantSplit w:val="0"/>
          <w:trHeight w:val="246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57,80</w:t>
            </w:r>
          </w:p>
        </w:tc>
      </w:tr>
      <w:tr>
        <w:trPr>
          <w:cantSplit w:val="0"/>
          <w:trHeight w:val="0" w:hRule="auto"/>
        </w:trPr>
        <w:tc>
          <w:tcPr>
            <w:tcW w:w="1483" w:type="dxa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Grzędowo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60,48</w:t>
            </w:r>
          </w:p>
        </w:tc>
      </w:tr>
      <w:tr>
        <w:trPr>
          <w:cantSplit w:val="0"/>
          <w:trHeight w:val="218" w:hRule="atLeast"/>
        </w:trPr>
        <w:tc>
          <w:tcPr>
            <w:tcW w:w="1483" w:type="dxa"/>
            <w:vMerge w:val="restart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Glinka  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55,50</w:t>
            </w:r>
          </w:p>
        </w:tc>
      </w:tr>
      <w:tr>
        <w:trPr>
          <w:cantSplit w:val="0"/>
          <w:trHeight w:val="22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55,50</w:t>
            </w:r>
          </w:p>
        </w:tc>
      </w:tr>
      <w:tr>
        <w:trPr>
          <w:cantSplit w:val="0"/>
          <w:trHeight w:val="240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55,50</w:t>
            </w:r>
          </w:p>
        </w:tc>
      </w:tr>
      <w:tr>
        <w:trPr>
          <w:cantSplit w:val="0"/>
          <w:trHeight w:val="25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51,10</w:t>
            </w:r>
          </w:p>
        </w:tc>
      </w:tr>
      <w:tr>
        <w:trPr>
          <w:cantSplit w:val="0"/>
          <w:trHeight w:val="25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62,90</w:t>
            </w:r>
          </w:p>
        </w:tc>
      </w:tr>
      <w:tr>
        <w:trPr>
          <w:cantSplit w:val="0"/>
          <w:trHeight w:val="22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62,90</w:t>
            </w:r>
          </w:p>
        </w:tc>
      </w:tr>
      <w:tr>
        <w:trPr>
          <w:cantSplit w:val="0"/>
          <w:trHeight w:val="256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54,78</w:t>
            </w:r>
          </w:p>
        </w:tc>
      </w:tr>
      <w:tr>
        <w:trPr>
          <w:cantSplit w:val="0"/>
          <w:trHeight w:val="0" w:hRule="auto"/>
        </w:trPr>
        <w:tc>
          <w:tcPr>
            <w:tcW w:w="1483" w:type="dxa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Kiersy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2a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własność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62,07</w:t>
            </w:r>
          </w:p>
        </w:tc>
      </w:tr>
      <w:tr>
        <w:trPr>
          <w:cantSplit w:val="0"/>
          <w:trHeight w:val="0" w:hRule="auto"/>
        </w:trPr>
        <w:tc>
          <w:tcPr>
            <w:tcW w:w="1483" w:type="dxa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Klejnowo 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217,30</w:t>
            </w:r>
          </w:p>
        </w:tc>
      </w:tr>
      <w:tr>
        <w:trPr>
          <w:cantSplit w:val="0"/>
          <w:trHeight w:val="0" w:hRule="auto"/>
        </w:trPr>
        <w:tc>
          <w:tcPr>
            <w:tcW w:w="1483" w:type="dxa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Krzewno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54a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46,30</w:t>
            </w:r>
          </w:p>
        </w:tc>
      </w:tr>
      <w:tr>
        <w:trPr>
          <w:cantSplit w:val="0"/>
          <w:trHeight w:val="262" w:hRule="atLeast"/>
        </w:trPr>
        <w:tc>
          <w:tcPr>
            <w:tcW w:w="1483" w:type="dxa"/>
            <w:vMerge w:val="restart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Lipowina 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30,30</w:t>
            </w:r>
          </w:p>
        </w:tc>
      </w:tr>
      <w:tr>
        <w:trPr>
          <w:cantSplit w:val="0"/>
          <w:trHeight w:val="22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własność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109,28</w:t>
            </w:r>
          </w:p>
        </w:tc>
      </w:tr>
      <w:tr>
        <w:trPr>
          <w:cantSplit w:val="0"/>
          <w:trHeight w:val="28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51,34</w:t>
            </w:r>
          </w:p>
        </w:tc>
      </w:tr>
      <w:tr>
        <w:trPr>
          <w:cantSplit w:val="0"/>
          <w:trHeight w:val="28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28,95</w:t>
            </w:r>
          </w:p>
        </w:tc>
      </w:tr>
      <w:tr>
        <w:trPr>
          <w:cantSplit w:val="0"/>
          <w:trHeight w:val="28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72,28</w:t>
            </w:r>
          </w:p>
        </w:tc>
      </w:tr>
      <w:tr>
        <w:trPr>
          <w:cantSplit w:val="0"/>
          <w:trHeight w:val="25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28,22</w:t>
            </w:r>
          </w:p>
        </w:tc>
      </w:tr>
      <w:tr>
        <w:trPr>
          <w:cantSplit w:val="0"/>
          <w:trHeight w:val="300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28,22</w:t>
            </w:r>
          </w:p>
        </w:tc>
      </w:tr>
      <w:tr>
        <w:trPr>
          <w:cantSplit w:val="0"/>
          <w:trHeight w:val="22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44,06</w:t>
            </w:r>
          </w:p>
        </w:tc>
      </w:tr>
      <w:tr>
        <w:trPr>
          <w:cantSplit w:val="0"/>
          <w:trHeight w:val="28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44,06</w:t>
            </w:r>
          </w:p>
        </w:tc>
      </w:tr>
      <w:tr>
        <w:trPr>
          <w:cantSplit w:val="0"/>
          <w:trHeight w:val="22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100,50</w:t>
            </w:r>
          </w:p>
        </w:tc>
      </w:tr>
      <w:tr>
        <w:trPr>
          <w:cantSplit w:val="0"/>
          <w:trHeight w:val="25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28,22</w:t>
            </w:r>
          </w:p>
        </w:tc>
      </w:tr>
      <w:tr>
        <w:trPr>
          <w:cantSplit w:val="0"/>
          <w:trHeight w:val="270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55,08</w:t>
            </w:r>
          </w:p>
        </w:tc>
      </w:tr>
      <w:tr>
        <w:trPr>
          <w:cantSplit w:val="0"/>
          <w:trHeight w:val="322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118,68</w:t>
            </w:r>
          </w:p>
        </w:tc>
      </w:tr>
      <w:tr>
        <w:trPr>
          <w:cantSplit w:val="0"/>
          <w:trHeight w:val="0" w:hRule="auto"/>
        </w:trPr>
        <w:tc>
          <w:tcPr>
            <w:tcW w:w="1483" w:type="dxa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Maciejewo 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własność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228,30</w:t>
            </w:r>
          </w:p>
        </w:tc>
      </w:tr>
      <w:tr>
        <w:trPr>
          <w:cantSplit w:val="0"/>
          <w:trHeight w:val="0" w:hRule="auto"/>
        </w:trPr>
        <w:tc>
          <w:tcPr>
            <w:tcW w:w="1483" w:type="dxa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Marcinkowo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60,46</w:t>
            </w:r>
          </w:p>
        </w:tc>
      </w:tr>
      <w:tr>
        <w:trPr>
          <w:cantSplit w:val="0"/>
          <w:trHeight w:val="272" w:hRule="atLeast"/>
        </w:trPr>
        <w:tc>
          <w:tcPr>
            <w:tcW w:w="1483" w:type="dxa"/>
            <w:vMerge w:val="restart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Młoteczno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183,30</w:t>
            </w:r>
          </w:p>
        </w:tc>
      </w:tr>
      <w:tr>
        <w:trPr>
          <w:cantSplit w:val="0"/>
          <w:trHeight w:val="240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113,56</w:t>
            </w:r>
          </w:p>
        </w:tc>
      </w:tr>
      <w:tr>
        <w:trPr>
          <w:cantSplit w:val="0"/>
          <w:trHeight w:val="19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39,80</w:t>
            </w:r>
          </w:p>
        </w:tc>
      </w:tr>
      <w:tr>
        <w:trPr>
          <w:cantSplit w:val="0"/>
          <w:trHeight w:val="290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5a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własność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64,58</w:t>
            </w:r>
          </w:p>
        </w:tc>
      </w:tr>
      <w:tr>
        <w:trPr>
          <w:cantSplit w:val="0"/>
          <w:trHeight w:val="210" w:hRule="atLeast"/>
        </w:trPr>
        <w:tc>
          <w:tcPr>
            <w:tcW w:w="1483" w:type="dxa"/>
            <w:vMerge w:val="restart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Podleśne</w:t>
            </w:r>
          </w:p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212,50</w:t>
            </w:r>
          </w:p>
        </w:tc>
      </w:tr>
      <w:tr>
        <w:trPr>
          <w:cantSplit w:val="0"/>
          <w:trHeight w:val="19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7+1 socjalny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własność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414,07</w:t>
            </w:r>
          </w:p>
        </w:tc>
      </w:tr>
      <w:tr>
        <w:trPr>
          <w:cantSplit w:val="0"/>
          <w:trHeight w:val="25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71,99</w:t>
            </w:r>
          </w:p>
        </w:tc>
      </w:tr>
      <w:tr>
        <w:trPr>
          <w:cantSplit w:val="0"/>
          <w:trHeight w:val="251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66,80</w:t>
            </w:r>
          </w:p>
        </w:tc>
      </w:tr>
      <w:tr>
        <w:trPr>
          <w:cantSplit w:val="0"/>
          <w:trHeight w:val="221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58,00</w:t>
            </w:r>
          </w:p>
        </w:tc>
      </w:tr>
      <w:tr>
        <w:trPr>
          <w:cantSplit w:val="0"/>
          <w:trHeight w:val="330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130,77</w:t>
            </w:r>
          </w:p>
        </w:tc>
      </w:tr>
      <w:tr>
        <w:trPr>
          <w:cantSplit w:val="0"/>
          <w:trHeight w:val="250" w:hRule="atLeast"/>
        </w:trPr>
        <w:tc>
          <w:tcPr>
            <w:tcW w:w="1483" w:type="dxa"/>
            <w:vMerge w:val="restart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Strubiny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własność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128,80</w:t>
            </w:r>
          </w:p>
        </w:tc>
      </w:tr>
      <w:tr>
        <w:trPr>
          <w:cantSplit w:val="0"/>
          <w:trHeight w:val="25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3b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własność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69,80</w:t>
            </w:r>
          </w:p>
        </w:tc>
      </w:tr>
      <w:tr>
        <w:trPr>
          <w:cantSplit w:val="0"/>
          <w:trHeight w:val="25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4b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własność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69,80</w:t>
            </w:r>
          </w:p>
        </w:tc>
      </w:tr>
      <w:tr>
        <w:trPr>
          <w:cantSplit w:val="0"/>
          <w:trHeight w:val="25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5a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własność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69,80</w:t>
            </w:r>
          </w:p>
        </w:tc>
      </w:tr>
      <w:tr>
        <w:trPr>
          <w:cantSplit w:val="0"/>
          <w:trHeight w:val="222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5b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własność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69,80</w:t>
            </w:r>
          </w:p>
        </w:tc>
      </w:tr>
      <w:tr>
        <w:trPr>
          <w:cantSplit w:val="0"/>
          <w:trHeight w:val="0" w:hRule="auto"/>
        </w:trPr>
        <w:tc>
          <w:tcPr>
            <w:tcW w:w="1483" w:type="dxa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Rogity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98,95</w:t>
            </w:r>
          </w:p>
        </w:tc>
      </w:tr>
      <w:tr>
        <w:trPr>
          <w:cantSplit w:val="0"/>
          <w:trHeight w:val="222" w:hRule="atLeast"/>
        </w:trPr>
        <w:tc>
          <w:tcPr>
            <w:tcW w:w="1483" w:type="dxa"/>
            <w:vMerge w:val="restart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Rudłowo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67,74</w:t>
            </w:r>
          </w:p>
        </w:tc>
      </w:tr>
      <w:tr>
        <w:trPr>
          <w:cantSplit w:val="0"/>
          <w:trHeight w:val="300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152,46</w:t>
            </w:r>
          </w:p>
        </w:tc>
      </w:tr>
      <w:tr>
        <w:trPr>
          <w:cantSplit w:val="0"/>
          <w:trHeight w:val="25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167,20</w:t>
            </w:r>
          </w:p>
        </w:tc>
      </w:tr>
      <w:tr>
        <w:trPr>
          <w:cantSplit w:val="0"/>
          <w:trHeight w:val="25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133,50</w:t>
            </w:r>
          </w:p>
        </w:tc>
      </w:tr>
      <w:tr>
        <w:trPr>
          <w:cantSplit w:val="0"/>
          <w:trHeight w:val="204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72,40</w:t>
            </w:r>
          </w:p>
        </w:tc>
      </w:tr>
      <w:tr>
        <w:trPr>
          <w:cantSplit w:val="0"/>
          <w:trHeight w:val="0" w:hRule="auto"/>
        </w:trPr>
        <w:tc>
          <w:tcPr>
            <w:tcW w:w="1483" w:type="dxa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Rusy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3AB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własność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142,90</w:t>
            </w:r>
          </w:p>
        </w:tc>
      </w:tr>
      <w:tr>
        <w:trPr>
          <w:cantSplit w:val="0"/>
          <w:trHeight w:val="0" w:hRule="auto"/>
        </w:trPr>
        <w:tc>
          <w:tcPr>
            <w:tcW w:w="1483" w:type="dxa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Rydzówka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59,50</w:t>
            </w:r>
          </w:p>
        </w:tc>
      </w:tr>
      <w:tr>
        <w:trPr>
          <w:cantSplit w:val="0"/>
          <w:trHeight w:val="0" w:hRule="auto"/>
        </w:trPr>
        <w:tc>
          <w:tcPr>
            <w:tcW w:w="1483" w:type="dxa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Szyleny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93,60</w:t>
            </w:r>
          </w:p>
        </w:tc>
      </w:tr>
      <w:tr>
        <w:trPr>
          <w:cantSplit w:val="0"/>
          <w:trHeight w:val="210" w:hRule="atLeast"/>
        </w:trPr>
        <w:tc>
          <w:tcPr>
            <w:tcW w:w="1483" w:type="dxa"/>
            <w:vMerge w:val="restart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Stępień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własność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105,81</w:t>
            </w:r>
          </w:p>
        </w:tc>
      </w:tr>
      <w:tr>
        <w:trPr>
          <w:cantSplit w:val="0"/>
          <w:trHeight w:val="210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119,59</w:t>
            </w:r>
          </w:p>
        </w:tc>
      </w:tr>
      <w:tr>
        <w:trPr>
          <w:cantSplit w:val="0"/>
          <w:trHeight w:val="0" w:hRule="auto"/>
        </w:trPr>
        <w:tc>
          <w:tcPr>
            <w:tcW w:w="1483" w:type="dxa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Ułowo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wspólnota z udz. gminy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58,68</w:t>
            </w:r>
          </w:p>
        </w:tc>
      </w:tr>
      <w:tr>
        <w:trPr>
          <w:cantSplit w:val="0"/>
          <w:trHeight w:val="255" w:hRule="atLeast"/>
        </w:trPr>
        <w:tc>
          <w:tcPr>
            <w:tcW w:w="1483" w:type="dxa"/>
            <w:vMerge w:val="restart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Zgoda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38,19</w:t>
            </w:r>
          </w:p>
        </w:tc>
      </w:tr>
      <w:tr>
        <w:trPr>
          <w:cantSplit w:val="0"/>
          <w:trHeight w:val="360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11a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49,11</w:t>
            </w:r>
          </w:p>
        </w:tc>
      </w:tr>
      <w:tr>
        <w:trPr>
          <w:cantSplit w:val="0"/>
          <w:trHeight w:val="193" w:hRule="atLeast"/>
        </w:trPr>
        <w:tc>
          <w:tcPr>
            <w:tcW w:w="1483" w:type="dxa"/>
            <w:vMerge w:val="restart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Żelazna Góra</w:t>
            </w: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65,70</w:t>
            </w:r>
          </w:p>
        </w:tc>
      </w:tr>
      <w:tr>
        <w:trPr>
          <w:cantSplit w:val="0"/>
          <w:trHeight w:val="28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44,90</w:t>
            </w:r>
          </w:p>
        </w:tc>
      </w:tr>
      <w:tr>
        <w:trPr>
          <w:cantSplit w:val="0"/>
          <w:trHeight w:val="315" w:hRule="atLeast"/>
        </w:trPr>
        <w:tc>
          <w:tcPr>
            <w:tcW w:w="1483" w:type="dxa"/>
            <w:vMerge/>
            <w:tmTcPr id="1577776932" protected="0"/>
          </w:tcPr>
          <w:p>
            <w:pPr>
              <w:spacing w:after="0" w:line="240" w:lineRule="auto"/>
            </w:pPr>
          </w:p>
        </w:tc>
        <w:tc>
          <w:tcPr>
            <w:tcW w:w="109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37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współwłasność</w:t>
            </w:r>
          </w:p>
        </w:tc>
        <w:tc>
          <w:tcPr>
            <w:tcW w:w="192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55,92</w:t>
            </w:r>
          </w:p>
        </w:tc>
      </w:tr>
    </w:tbl>
    <w:p>
      <w:pPr>
        <w:spacing w:after="0" w:line="259" w:lineRule="auto"/>
        <w:rPr>
          <w:rFonts w:cs="Calibri"/>
        </w:rPr>
      </w:pPr>
      <w:r>
        <w:rPr>
          <w:rFonts w:cs="Calibri"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Tabela nr 2 . Zasób mieszkaniowy Gminy Braniewo. </w:t>
      </w:r>
    </w:p>
    <w:p>
      <w:pPr>
        <w:spacing w:after="0" w:line="259" w:lineRule="auto"/>
        <w:jc w:val="center"/>
        <w:rPr>
          <w:rFonts w:cs="Calibri"/>
        </w:rPr>
      </w:pPr>
      <w:r>
        <w:rPr>
          <w:rFonts w:cs="Calibri"/>
        </w:rPr>
      </w:r>
    </w:p>
    <w:tbl>
      <w:tblPr>
        <w:tblStyle w:val="TableGrid"/>
        <w:name w:val="Table2"/>
        <w:tabOrder w:val="0"/>
        <w:jc w:val="left"/>
        <w:tblInd w:w="0" w:type="dxa"/>
        <w:tblW w:w="9351" w:type="dxa"/>
        <w:tblLook w:val="04A0" w:firstRow="1" w:lastRow="0" w:firstColumn="1" w:lastColumn="0" w:noHBand="0" w:noVBand="1"/>
      </w:tblPr>
      <w:tblGrid>
        <w:gridCol w:w="704"/>
        <w:gridCol w:w="6521"/>
        <w:gridCol w:w="1134"/>
        <w:gridCol w:w="992"/>
      </w:tblGrid>
      <w:tr>
        <w:trPr>
          <w:cantSplit w:val="0"/>
          <w:trHeight w:val="461" w:hRule="atLeast"/>
        </w:trPr>
        <w:tc>
          <w:tcPr>
            <w:tcW w:w="704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6521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Zasób</w:t>
            </w:r>
          </w:p>
        </w:tc>
        <w:tc>
          <w:tcPr>
            <w:tcW w:w="1134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Wielkość </w:t>
            </w:r>
          </w:p>
        </w:tc>
        <w:tc>
          <w:tcPr>
            <w:tcW w:w="99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>
        <w:trPr>
          <w:cantSplit w:val="0"/>
          <w:trHeight w:val="0" w:hRule="auto"/>
        </w:trPr>
        <w:tc>
          <w:tcPr>
            <w:tcW w:w="704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6521" w:type="dxa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Budynki stanowiące w całości własność Gminy Braniewo w tym:</w:t>
            </w:r>
          </w:p>
        </w:tc>
        <w:tc>
          <w:tcPr>
            <w:tcW w:w="1134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0"/>
          <w:trHeight w:val="575" w:hRule="atLeast"/>
        </w:trPr>
        <w:tc>
          <w:tcPr>
            <w:tcW w:w="704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521" w:type="dxa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liczba lokali będących przedmiotem najmu socjalnego</w:t>
            </w:r>
          </w:p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powierzchnia użytkowa </w:t>
            </w:r>
          </w:p>
        </w:tc>
        <w:tc>
          <w:tcPr>
            <w:tcW w:w="1134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388,51</w:t>
            </w:r>
          </w:p>
        </w:tc>
        <w:tc>
          <w:tcPr>
            <w:tcW w:w="99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04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521" w:type="dxa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liczba lokali mieszkalnych</w:t>
            </w:r>
          </w:p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powierzchnia</w:t>
            </w:r>
          </w:p>
        </w:tc>
        <w:tc>
          <w:tcPr>
            <w:tcW w:w="1134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2096,04</w:t>
            </w:r>
          </w:p>
        </w:tc>
        <w:tc>
          <w:tcPr>
            <w:tcW w:w="99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0"/>
          <w:trHeight w:val="688" w:hRule="atLeast"/>
        </w:trPr>
        <w:tc>
          <w:tcPr>
            <w:tcW w:w="704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521" w:type="dxa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liczba lokali użytkowych</w:t>
            </w:r>
          </w:p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powierzchnia </w:t>
            </w:r>
          </w:p>
        </w:tc>
        <w:tc>
          <w:tcPr>
            <w:tcW w:w="1134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164,42</w:t>
            </w:r>
          </w:p>
        </w:tc>
        <w:tc>
          <w:tcPr>
            <w:tcW w:w="99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04" w:type="dxa"/>
            <w:tcBorders>
              <w:bottom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6521" w:type="dxa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Budynki wspólnot mieszkaniowych z udziałem Gminy Braniewo</w:t>
            </w:r>
          </w:p>
        </w:tc>
        <w:tc>
          <w:tcPr>
            <w:tcW w:w="1134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04" w:type="dxa"/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521" w:type="dxa"/>
            <w:tcBorders>
              <w:lef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liczba lokali będących przedmiotem najmu socjalnego</w:t>
            </w:r>
          </w:p>
        </w:tc>
        <w:tc>
          <w:tcPr>
            <w:tcW w:w="1134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04" w:type="dxa"/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521" w:type="dxa"/>
            <w:tcBorders>
              <w:lef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liczba innych lokali mieszkalnych </w:t>
            </w:r>
          </w:p>
        </w:tc>
        <w:tc>
          <w:tcPr>
            <w:tcW w:w="1134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04" w:type="dxa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521" w:type="dxa"/>
            <w:tcBorders>
              <w:lef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Razem powierzchnia użytkowa lokali </w:t>
            </w:r>
          </w:p>
        </w:tc>
        <w:tc>
          <w:tcPr>
            <w:tcW w:w="1134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5 168,46</w:t>
            </w:r>
          </w:p>
        </w:tc>
        <w:tc>
          <w:tcPr>
            <w:tcW w:w="99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spacing w:after="0" w:line="259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Tabela nr 3. Prognoza wielkości zasobu na lata 2019-2023</w:t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Normal"/>
        <w:name w:val="Table3"/>
        <w:tabOrder w:val="0"/>
        <w:jc w:val="left"/>
        <w:tblInd w:w="-12" w:type="dxa"/>
        <w:tblW w:w="9315" w:type="dxa"/>
        <w:tblLook w:val="0000" w:firstRow="0" w:lastRow="0" w:firstColumn="0" w:lastColumn="0" w:noHBand="0" w:noVBand="0"/>
      </w:tblPr>
      <w:tblGrid>
        <w:gridCol w:w="306"/>
        <w:gridCol w:w="692"/>
        <w:gridCol w:w="1986"/>
        <w:gridCol w:w="3373"/>
        <w:gridCol w:w="580"/>
        <w:gridCol w:w="580"/>
        <w:gridCol w:w="580"/>
        <w:gridCol w:w="638"/>
        <w:gridCol w:w="580"/>
      </w:tblGrid>
      <w:tr>
        <w:trPr>
          <w:cantSplit w:val="0"/>
          <w:trHeight w:val="433" w:hRule="atLeast"/>
        </w:trPr>
        <w:tc>
          <w:tcPr>
            <w:tcW w:w="998" w:type="dxa"/>
            <w:gridSpan w:val="2"/>
            <w:vMerge w:val="restart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L.p.</w:t>
            </w:r>
          </w:p>
        </w:tc>
        <w:tc>
          <w:tcPr>
            <w:tcW w:w="1986" w:type="dxa"/>
            <w:vMerge w:val="restart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własności</w:t>
            </w:r>
          </w:p>
        </w:tc>
        <w:tc>
          <w:tcPr>
            <w:tcW w:w="6331" w:type="dxa"/>
            <w:gridSpan w:val="6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Lata</w:t>
            </w:r>
          </w:p>
        </w:tc>
      </w:tr>
      <w:tr>
        <w:trPr>
          <w:cantSplit w:val="0"/>
          <w:trHeight w:val="411" w:hRule="atLeast"/>
        </w:trPr>
        <w:tc>
          <w:tcPr>
            <w:tcW w:w="998" w:type="dxa"/>
            <w:gridSpan w:val="2"/>
            <w:vMerge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/>
        </w:tc>
        <w:tc>
          <w:tcPr>
            <w:tcW w:w="1986" w:type="dxa"/>
            <w:vMerge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/>
        </w:tc>
        <w:tc>
          <w:tcPr>
            <w:tcW w:w="3373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2019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2020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2021</w:t>
            </w:r>
          </w:p>
        </w:tc>
        <w:tc>
          <w:tcPr>
            <w:tcW w:w="63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2022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2023</w:t>
            </w:r>
          </w:p>
        </w:tc>
      </w:tr>
      <w:tr>
        <w:trPr>
          <w:cantSplit w:val="0"/>
          <w:trHeight w:val="416" w:hRule="atLeast"/>
        </w:trPr>
        <w:tc>
          <w:tcPr>
            <w:tcW w:w="306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6051" w:type="dxa"/>
            <w:gridSpan w:val="3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Budynki stanowiące w całości własności Gminy w tym: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3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>
        <w:trPr>
          <w:cantSplit w:val="0"/>
          <w:trHeight w:val="280" w:hRule="atLeast"/>
        </w:trPr>
        <w:tc>
          <w:tcPr>
            <w:tcW w:w="306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51" w:type="dxa"/>
            <w:gridSpan w:val="3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liczba lokali będących przedmiotem najmu socjalnego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3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>
          <w:cantSplit w:val="0"/>
          <w:trHeight w:val="272" w:hRule="atLeast"/>
        </w:trPr>
        <w:tc>
          <w:tcPr>
            <w:tcW w:w="306" w:type="dxa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51" w:type="dxa"/>
            <w:gridSpan w:val="3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liczba innych lokali mieszkalnych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3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>
        <w:trPr>
          <w:cantSplit w:val="0"/>
          <w:trHeight w:val="416" w:hRule="atLeast"/>
        </w:trPr>
        <w:tc>
          <w:tcPr>
            <w:tcW w:w="306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6051" w:type="dxa"/>
            <w:gridSpan w:val="3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Budynki wspólnot mieszkaniowych z udziałem Gminy w tym: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63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>
        <w:trPr>
          <w:cantSplit w:val="0"/>
          <w:trHeight w:val="266" w:hRule="atLeast"/>
        </w:trPr>
        <w:tc>
          <w:tcPr>
            <w:tcW w:w="306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51" w:type="dxa"/>
            <w:gridSpan w:val="3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liczba lokali będących przedmiotem najmu socjalnego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cantSplit w:val="0"/>
          <w:trHeight w:val="286" w:hRule="atLeast"/>
        </w:trPr>
        <w:tc>
          <w:tcPr>
            <w:tcW w:w="306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51" w:type="dxa"/>
            <w:gridSpan w:val="3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liczba innych lokali mieszkalnych 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63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58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</w:tr>
    </w:tbl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5.</w:t>
      </w:r>
      <w:r>
        <w:rPr>
          <w:rFonts w:ascii="Times New Roman" w:hAnsi="Times New Roman"/>
        </w:rPr>
        <w:t xml:space="preserve"> Lokale mieszkalne w budynkach oświatowych określa tabela nr 4.</w:t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Tabela nr 4. Lokale mieszkalne w budynkach oświatowych.</w:t>
      </w:r>
    </w:p>
    <w:tbl>
      <w:tblPr>
        <w:tblStyle w:val="TableGrid"/>
        <w:name w:val="Table4"/>
        <w:tabOrder w:val="0"/>
        <w:jc w:val="left"/>
        <w:tblInd w:w="0" w:type="dxa"/>
        <w:tblW w:w="9062" w:type="dxa"/>
        <w:tblLook w:val="04A0" w:firstRow="1" w:lastRow="0" w:firstColumn="1" w:lastColumn="0" w:noHBand="0" w:noVBand="1"/>
      </w:tblPr>
      <w:tblGrid>
        <w:gridCol w:w="596"/>
        <w:gridCol w:w="1828"/>
        <w:gridCol w:w="2107"/>
        <w:gridCol w:w="1570"/>
        <w:gridCol w:w="2961"/>
      </w:tblGrid>
      <w:tr>
        <w:trPr>
          <w:cantSplit w:val="0"/>
          <w:trHeight w:val="715" w:hRule="atLeast"/>
        </w:trPr>
        <w:tc>
          <w:tcPr>
            <w:tcW w:w="596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1828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 budynku</w:t>
            </w:r>
          </w:p>
        </w:tc>
        <w:tc>
          <w:tcPr>
            <w:tcW w:w="210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Powierzchnia w m²</w:t>
            </w:r>
          </w:p>
        </w:tc>
        <w:tc>
          <w:tcPr>
            <w:tcW w:w="1570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Ilość lokali</w:t>
            </w:r>
          </w:p>
        </w:tc>
        <w:tc>
          <w:tcPr>
            <w:tcW w:w="2961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Wyposażenie w media</w:t>
            </w:r>
          </w:p>
        </w:tc>
      </w:tr>
      <w:tr>
        <w:trPr>
          <w:cantSplit w:val="0"/>
          <w:trHeight w:val="414" w:hRule="atLeast"/>
        </w:trPr>
        <w:tc>
          <w:tcPr>
            <w:tcW w:w="596" w:type="dxa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</w:t>
            </w:r>
          </w:p>
        </w:tc>
        <w:tc>
          <w:tcPr>
            <w:tcW w:w="1828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Szyleny 99,6</w:t>
            </w:r>
          </w:p>
        </w:tc>
        <w:tc>
          <w:tcPr>
            <w:tcW w:w="210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1570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1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Mieszkanie ogrzewane c.o.</w:t>
            </w:r>
          </w:p>
        </w:tc>
      </w:tr>
    </w:tbl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6.</w:t>
      </w:r>
      <w:r>
        <w:rPr>
          <w:rFonts w:ascii="Times New Roman" w:hAnsi="Times New Roman"/>
        </w:rPr>
        <w:t xml:space="preserve"> Stan techniczny budynków zasobu mieszkaniowego określony w oparciu o wiek budynku    </w:t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wyposażenie oraz stan techniczny obiektu, przedstawia tabela nr 5.</w:t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Tabela nr 5. Stan techniczny budynków </w:t>
      </w:r>
    </w:p>
    <w:tbl>
      <w:tblPr>
        <w:tblStyle w:val="TableNormal"/>
        <w:name w:val="Table5"/>
        <w:tabOrder w:val="0"/>
        <w:jc w:val="left"/>
        <w:tblInd w:w="3" w:type="dxa"/>
        <w:tblW w:w="9070" w:type="dxa"/>
        <w:tblLook w:val="0000" w:firstRow="0" w:lastRow="0" w:firstColumn="0" w:lastColumn="0" w:noHBand="0" w:noVBand="0"/>
      </w:tblPr>
      <w:tblGrid>
        <w:gridCol w:w="1117"/>
        <w:gridCol w:w="1162"/>
        <w:gridCol w:w="878"/>
        <w:gridCol w:w="1103"/>
        <w:gridCol w:w="998"/>
        <w:gridCol w:w="1057"/>
        <w:gridCol w:w="856"/>
        <w:gridCol w:w="885"/>
        <w:gridCol w:w="1014"/>
      </w:tblGrid>
      <w:tr>
        <w:trPr>
          <w:cantSplit w:val="0"/>
          <w:trHeight w:val="453" w:hRule="atLeast"/>
        </w:trPr>
        <w:tc>
          <w:tcPr>
            <w:tcW w:w="1117" w:type="dxa"/>
            <w:vMerge w:val="restart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Zasób</w:t>
            </w:r>
          </w:p>
        </w:tc>
        <w:tc>
          <w:tcPr>
            <w:tcW w:w="1162" w:type="dxa"/>
            <w:vMerge w:val="restart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 techniczny</w:t>
            </w:r>
          </w:p>
        </w:tc>
        <w:tc>
          <w:tcPr>
            <w:tcW w:w="6791" w:type="dxa"/>
            <w:gridSpan w:val="7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Lata</w:t>
            </w:r>
          </w:p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0"/>
          <w:trHeight w:val="617" w:hRule="atLeast"/>
        </w:trPr>
        <w:tc>
          <w:tcPr>
            <w:tcW w:w="1117" w:type="dxa"/>
            <w:vMerge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/>
        </w:tc>
        <w:tc>
          <w:tcPr>
            <w:tcW w:w="1162" w:type="dxa"/>
            <w:vMerge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/>
        </w:tc>
        <w:tc>
          <w:tcPr>
            <w:tcW w:w="1981" w:type="dxa"/>
            <w:gridSpan w:val="2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057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56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85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015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>
        <w:trPr>
          <w:cantSplit w:val="0"/>
          <w:trHeight w:val="570" w:hRule="atLeast"/>
        </w:trPr>
        <w:tc>
          <w:tcPr>
            <w:tcW w:w="3157" w:type="dxa"/>
            <w:gridSpan w:val="3"/>
            <w:vMerge w:val="restart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Budynki stanowiące w całości własność Gminy Braniewo z najmu socjalnego i innymi lokalami mieszkalnymi</w:t>
            </w:r>
          </w:p>
        </w:tc>
        <w:tc>
          <w:tcPr>
            <w:tcW w:w="1102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dobry</w:t>
            </w:r>
          </w:p>
        </w:tc>
        <w:tc>
          <w:tcPr>
            <w:tcW w:w="99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7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6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5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cantSplit w:val="0"/>
          <w:trHeight w:val="570" w:hRule="atLeast"/>
        </w:trPr>
        <w:tc>
          <w:tcPr>
            <w:tcW w:w="3157" w:type="dxa"/>
            <w:gridSpan w:val="3"/>
            <w:vMerge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/>
        </w:tc>
        <w:tc>
          <w:tcPr>
            <w:tcW w:w="1102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średni</w:t>
            </w:r>
          </w:p>
        </w:tc>
        <w:tc>
          <w:tcPr>
            <w:tcW w:w="99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7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6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5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cantSplit w:val="0"/>
          <w:trHeight w:val="597" w:hRule="atLeast"/>
        </w:trPr>
        <w:tc>
          <w:tcPr>
            <w:tcW w:w="3157" w:type="dxa"/>
            <w:gridSpan w:val="3"/>
            <w:vMerge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/>
        </w:tc>
        <w:tc>
          <w:tcPr>
            <w:tcW w:w="1102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zły</w:t>
            </w:r>
          </w:p>
        </w:tc>
        <w:tc>
          <w:tcPr>
            <w:tcW w:w="99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7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6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5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cantSplit w:val="0"/>
          <w:trHeight w:val="630" w:hRule="atLeast"/>
        </w:trPr>
        <w:tc>
          <w:tcPr>
            <w:tcW w:w="3157" w:type="dxa"/>
            <w:gridSpan w:val="3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Lokale mieszkalne w budynkach oświatowych</w:t>
            </w:r>
          </w:p>
        </w:tc>
        <w:tc>
          <w:tcPr>
            <w:tcW w:w="1102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dobry</w:t>
            </w:r>
          </w:p>
        </w:tc>
        <w:tc>
          <w:tcPr>
            <w:tcW w:w="998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7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6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5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7</w:t>
      </w:r>
      <w:r>
        <w:rPr>
          <w:rFonts w:ascii="Times New Roman" w:hAnsi="Times New Roman"/>
        </w:rPr>
        <w:t xml:space="preserve">. 1. Analiza </w:t>
      </w:r>
      <w:r/>
      <w:bookmarkStart w:id="1" w:name="_Hlk20915284"/>
      <w:bookmarkEnd w:id="1"/>
      <w:r/>
      <w:r>
        <w:rPr>
          <w:rFonts w:ascii="Times New Roman" w:hAnsi="Times New Roman"/>
        </w:rPr>
        <w:t xml:space="preserve">potrzeb oraz planu remontów i modernizacji zasobu mieszkaniowego wynikający ze    </w:t>
      </w:r>
      <w:r>
        <w:rPr>
          <w:rFonts w:ascii="Times New Roman" w:hAnsi="Times New Roman"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stanu technicznego budynków i lokali mieszkaniowych określa złącznik nr 1.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Realizacja remontów i modernizacji, o których mowa w ust. 1 ma na celu utrzymanie zasobu  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mieszkaniowego w stanie niepogorszonym.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Zwiększenie zasobów mieszkaniowych Gminy Braniewo planuję się poprzez przejmowanie lokali z   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Krajowego Ośrodka Wsparcia Rolnictwa oraz poprzez budowę lokali, w tym lokali będących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przedmiotem najmu socjalnego z pozyskanych dotacji.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Wykonanie przyłączy kanalizacyjnych do budynków znajdujących się w mieszkaniowych zasobach gminy realizowana będzie w ramach zadań gminy.</w:t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II</w:t>
      </w:r>
    </w:p>
    <w:p>
      <w:pPr>
        <w:spacing w:after="0" w:line="259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Analiza potrzeb oraz plan remontów i modernizacji wynikający ze stanu technicznego budynków i lokali z podziałem na kolejne lata.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8</w:t>
      </w:r>
      <w:r>
        <w:rPr>
          <w:rFonts w:ascii="Times New Roman" w:hAnsi="Times New Roman"/>
        </w:rPr>
        <w:t xml:space="preserve">. Potrzeby remontowe budynków i lokali mieszkalnych stanowiący mieszkaniowy zasób Gminy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Braniewo wynikają z konieczności: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numPr>
          <w:ilvl w:val="0"/>
          <w:numId w:val="8"/>
        </w:numPr>
        <w:ind w:left="720" w:hanging="360"/>
        <w:spacing w:after="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utrzymanie stanu technicznego budynków na poziomie zapewniającym bezpieczeństwo ludzi i mienia; </w:t>
      </w:r>
    </w:p>
    <w:p>
      <w:pPr>
        <w:spacing w:after="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numPr>
          <w:ilvl w:val="0"/>
          <w:numId w:val="8"/>
        </w:numPr>
        <w:ind w:left="720" w:hanging="360"/>
        <w:spacing w:after="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ochrona zdrowia i życia ludzi przebywających w pomieszczeniach budynków;</w:t>
      </w:r>
    </w:p>
    <w:p>
      <w:pPr>
        <w:spacing w:after="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numPr>
          <w:ilvl w:val="0"/>
          <w:numId w:val="8"/>
        </w:numPr>
        <w:ind w:left="720" w:hanging="360"/>
        <w:spacing w:after="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zapewnienia użytkowania budynków i znajdujących się w nich pomieszczeń oraz urządzeń związanych z budynkiem zgodnie z przeznaczeniem, a w szczególności zapewnienie warunków umożliwiających zaopatrzenie w wodę, energię elektryczną oraz ochronę przeciwpożarową;</w:t>
      </w:r>
    </w:p>
    <w:p>
      <w:pPr>
        <w:spacing w:after="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numPr>
          <w:ilvl w:val="0"/>
          <w:numId w:val="8"/>
        </w:numPr>
        <w:ind w:left="720" w:hanging="360"/>
        <w:spacing w:after="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utrzymania wymaganego stanu technicznego budynku i realizacji wykorzystania energii elektrycznej, ciepła i wody.</w:t>
      </w:r>
    </w:p>
    <w:p>
      <w:pPr>
        <w:spacing w:after="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9</w:t>
      </w:r>
      <w:r>
        <w:rPr>
          <w:rFonts w:ascii="Times New Roman" w:hAnsi="Times New Roman"/>
        </w:rPr>
        <w:t xml:space="preserve">. 1. Zestawienie remontów planowanych do realizacji w latach 2019-2023 w mieszkaniowym zasobie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Gminy Braniewo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2. Remonty w pierwszej kolejności dotyczyć będą pokryć dachowych, kominów, przewodów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kominowych i urządzeń wodno-kanalizacyjnych oraz elektrycznych.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3. Analiza rzeczowego zakresu potrzeb remontowych i wielkości środków finansowych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przeznaczonych w latach 2019-2023 przedstawia tabela nr 6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Tabela nr 6. Zakres potrzeb remontowych</w:t>
      </w:r>
    </w:p>
    <w:tbl>
      <w:tblPr>
        <w:tblStyle w:val="TableGrid"/>
        <w:name w:val="Table6"/>
        <w:tabOrder w:val="0"/>
        <w:jc w:val="left"/>
        <w:tblInd w:w="0" w:type="dxa"/>
        <w:tblW w:w="9776" w:type="dxa"/>
        <w:tblLook w:val="04A0" w:firstRow="1" w:lastRow="0" w:firstColumn="1" w:lastColumn="0" w:noHBand="0" w:noVBand="1"/>
      </w:tblPr>
      <w:tblGrid>
        <w:gridCol w:w="572"/>
        <w:gridCol w:w="1550"/>
        <w:gridCol w:w="1559"/>
        <w:gridCol w:w="1559"/>
        <w:gridCol w:w="1276"/>
        <w:gridCol w:w="1417"/>
        <w:gridCol w:w="1843"/>
      </w:tblGrid>
      <w:tr>
        <w:trPr>
          <w:cantSplit w:val="0"/>
          <w:trHeight w:val="491" w:hRule="atLeast"/>
        </w:trPr>
        <w:tc>
          <w:tcPr>
            <w:tcW w:w="572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L.p.</w:t>
            </w:r>
          </w:p>
        </w:tc>
        <w:tc>
          <w:tcPr>
            <w:tcW w:w="1550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Adres</w:t>
            </w:r>
          </w:p>
        </w:tc>
        <w:tc>
          <w:tcPr>
            <w:tcW w:w="1559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76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41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843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>
        <w:trPr>
          <w:cantSplit w:val="0"/>
          <w:trHeight w:val="420" w:hRule="atLeast"/>
        </w:trPr>
        <w:tc>
          <w:tcPr>
            <w:tcW w:w="572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50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Bemowizna 25</w:t>
            </w:r>
          </w:p>
        </w:tc>
        <w:tc>
          <w:tcPr>
            <w:tcW w:w="1559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Instalacja c.o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22 000</w:t>
            </w:r>
          </w:p>
        </w:tc>
        <w:tc>
          <w:tcPr>
            <w:tcW w:w="1276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3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 w:val="0"/>
          <w:trHeight w:val="390" w:hRule="atLeast"/>
        </w:trPr>
        <w:tc>
          <w:tcPr>
            <w:tcW w:w="572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50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Brzeszczyny 2</w:t>
            </w:r>
          </w:p>
        </w:tc>
        <w:tc>
          <w:tcPr>
            <w:tcW w:w="1559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Remont dachu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22 000</w:t>
            </w:r>
          </w:p>
        </w:tc>
        <w:tc>
          <w:tcPr>
            <w:tcW w:w="1843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 w:val="0"/>
          <w:trHeight w:val="418" w:hRule="atLeast"/>
        </w:trPr>
        <w:tc>
          <w:tcPr>
            <w:tcW w:w="572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</w:tc>
        <w:tc>
          <w:tcPr>
            <w:tcW w:w="1550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Cielętnik 5</w:t>
            </w:r>
          </w:p>
        </w:tc>
        <w:tc>
          <w:tcPr>
            <w:tcW w:w="1559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Remont dachu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45 000</w:t>
            </w:r>
          </w:p>
        </w:tc>
        <w:tc>
          <w:tcPr>
            <w:tcW w:w="1276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3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 w:val="0"/>
          <w:trHeight w:val="600" w:hRule="atLeast"/>
        </w:trPr>
        <w:tc>
          <w:tcPr>
            <w:tcW w:w="572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550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Młoteczno 5 </w:t>
            </w:r>
          </w:p>
        </w:tc>
        <w:tc>
          <w:tcPr>
            <w:tcW w:w="1559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3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Ocieplenie budynku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15 000</w:t>
            </w:r>
          </w:p>
        </w:tc>
      </w:tr>
      <w:tr>
        <w:trPr>
          <w:cantSplit w:val="0"/>
          <w:trHeight w:val="522" w:hRule="atLeast"/>
        </w:trPr>
        <w:tc>
          <w:tcPr>
            <w:tcW w:w="572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550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Podleśne 12</w:t>
            </w:r>
          </w:p>
        </w:tc>
        <w:tc>
          <w:tcPr>
            <w:tcW w:w="1559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Remont dachu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49 100</w:t>
            </w:r>
          </w:p>
        </w:tc>
        <w:tc>
          <w:tcPr>
            <w:tcW w:w="1559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3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 w:val="0"/>
          <w:trHeight w:val="465" w:hRule="atLeast"/>
        </w:trPr>
        <w:tc>
          <w:tcPr>
            <w:tcW w:w="572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550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Strubiny 2</w:t>
            </w:r>
          </w:p>
        </w:tc>
        <w:tc>
          <w:tcPr>
            <w:tcW w:w="1559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Remont dachu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1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3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 w:val="0"/>
          <w:trHeight w:val="585" w:hRule="atLeast"/>
        </w:trPr>
        <w:tc>
          <w:tcPr>
            <w:tcW w:w="572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550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Klejnowo 10</w:t>
            </w:r>
          </w:p>
        </w:tc>
        <w:tc>
          <w:tcPr>
            <w:tcW w:w="1559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Remont lokalu 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1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3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 w:val="0"/>
          <w:trHeight w:val="705" w:hRule="atLeast"/>
        </w:trPr>
        <w:tc>
          <w:tcPr>
            <w:tcW w:w="572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550" w:type="dxa"/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Strubiny 5</w:t>
            </w:r>
          </w:p>
        </w:tc>
        <w:tc>
          <w:tcPr>
            <w:tcW w:w="1559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Remont dachu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44 000</w:t>
            </w:r>
          </w:p>
        </w:tc>
        <w:tc>
          <w:tcPr>
            <w:tcW w:w="1559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7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3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spacing w:after="0" w:line="259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§ 10.  </w:t>
      </w:r>
      <w:r>
        <w:rPr>
          <w:rFonts w:ascii="Times New Roman" w:hAnsi="Times New Roman"/>
        </w:rPr>
        <w:t xml:space="preserve">1. Realizacja remontów, przedstawiona w § 9 ust.2 odbywać się będzie w ramach środków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uzyskanych z opłat za najem.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2. Zwiększenie środków na remonty może nastąpić w przypadku pozyskania dofinansowania od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innych podmiotów.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§ 11.  </w:t>
      </w:r>
      <w:r>
        <w:rPr>
          <w:rFonts w:ascii="Times New Roman" w:hAnsi="Times New Roman"/>
        </w:rPr>
        <w:t xml:space="preserve">Środki finansowe będą przeznaczone w pierwszej kolejności na remont części wspólnych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budynków.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III</w:t>
      </w:r>
    </w:p>
    <w:p>
      <w:pPr>
        <w:spacing w:after="0" w:line="259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Planowana sprzedaż lokali w kolejnych latach</w:t>
      </w:r>
    </w:p>
    <w:p>
      <w:pPr>
        <w:spacing w:after="0" w:line="259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12</w:t>
      </w:r>
      <w:r>
        <w:rPr>
          <w:rFonts w:ascii="Times New Roman" w:hAnsi="Times New Roman"/>
        </w:rPr>
        <w:t xml:space="preserve">.  1. Zasady sprzedaży w mieszkaniowym zasobie Gminy Braniewo, lokali mieszkalnych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każdorazowo określa uchwała Rady Gminy.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2. Przewiduję się, że sprzedaż lokali mieszalnych w poszczególnych latach będzie uzależniona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od zainteresowania najemców wykupem mieszkań.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13.</w:t>
      </w:r>
      <w:r>
        <w:rPr>
          <w:rFonts w:ascii="Times New Roman" w:hAnsi="Times New Roman"/>
        </w:rPr>
        <w:t xml:space="preserve">  Planowana sprzedaż lokali w okresie 5 lat pozwoli Gminie Braniewo na prowadzenie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prawidłowej polityki związanej z zamianami, jak i remontami budynków, i lokali. Planowana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sprzedaż lokali skutkować będzie stopniowym zwiększeniem w mieszkaniowym zasobie Gminy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Braniewo procentu lokali będących przedmiotem najmu socjalnego.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14.</w:t>
      </w:r>
      <w:r>
        <w:rPr>
          <w:rFonts w:ascii="Times New Roman" w:hAnsi="Times New Roman"/>
        </w:rPr>
        <w:t xml:space="preserve"> Zakres planowanej sprzedaży określa tabela nr 7.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Tabela nr 7. Planowana ilość sprzedaży lokali w latach 2019-2023</w:t>
      </w:r>
    </w:p>
    <w:tbl>
      <w:tblPr>
        <w:tblStyle w:val="TableGrid"/>
        <w:name w:val="Table7"/>
        <w:tabOrder w:val="0"/>
        <w:jc w:val="left"/>
        <w:tblInd w:w="0" w:type="dxa"/>
        <w:tblW w:w="9062" w:type="dxa"/>
        <w:tblLook w:val="04A0" w:firstRow="1" w:lastRow="0" w:firstColumn="1" w:lastColumn="0" w:noHBand="0" w:noVBand="1"/>
      </w:tblPr>
      <w:tblGrid>
        <w:gridCol w:w="597"/>
        <w:gridCol w:w="4672"/>
        <w:gridCol w:w="706"/>
        <w:gridCol w:w="706"/>
        <w:gridCol w:w="705"/>
        <w:gridCol w:w="841"/>
        <w:gridCol w:w="835"/>
      </w:tblGrid>
      <w:tr>
        <w:trPr>
          <w:cantSplit w:val="0"/>
          <w:trHeight w:val="0" w:hRule="auto"/>
        </w:trPr>
        <w:tc>
          <w:tcPr>
            <w:tcW w:w="597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4672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Lata</w:t>
            </w:r>
          </w:p>
        </w:tc>
        <w:tc>
          <w:tcPr>
            <w:tcW w:w="706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2019</w:t>
            </w:r>
          </w:p>
        </w:tc>
        <w:tc>
          <w:tcPr>
            <w:tcW w:w="706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2020</w:t>
            </w:r>
          </w:p>
        </w:tc>
        <w:tc>
          <w:tcPr>
            <w:tcW w:w="705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2021</w:t>
            </w:r>
          </w:p>
        </w:tc>
        <w:tc>
          <w:tcPr>
            <w:tcW w:w="841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2022</w:t>
            </w:r>
          </w:p>
        </w:tc>
        <w:tc>
          <w:tcPr>
            <w:tcW w:w="835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2023</w:t>
            </w:r>
          </w:p>
        </w:tc>
      </w:tr>
      <w:tr>
        <w:trPr>
          <w:cantSplit w:val="0"/>
          <w:trHeight w:val="0" w:hRule="auto"/>
        </w:trPr>
        <w:tc>
          <w:tcPr>
            <w:tcW w:w="597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72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Planowana ilość lokali do sprzedaży</w:t>
            </w:r>
          </w:p>
        </w:tc>
        <w:tc>
          <w:tcPr>
            <w:tcW w:w="706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6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5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1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35" w:type="dxa"/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§ 15. </w:t>
      </w:r>
      <w:r>
        <w:rPr>
          <w:rFonts w:ascii="Times New Roman" w:hAnsi="Times New Roman"/>
        </w:rPr>
        <w:t xml:space="preserve">Budynki mieszkalne stanowiące własność Gminy, w których lokale mieszkalne nie są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przewidziane do sprzedaży to:</w:t>
      </w:r>
    </w:p>
    <w:p>
      <w:pPr>
        <w:numPr>
          <w:ilvl w:val="0"/>
          <w:numId w:val="7"/>
        </w:numPr>
        <w:ind w:left="720" w:hanging="360"/>
        <w:spacing w:after="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Bemowizna18</w:t>
      </w:r>
    </w:p>
    <w:p>
      <w:pPr>
        <w:numPr>
          <w:ilvl w:val="0"/>
          <w:numId w:val="7"/>
        </w:numPr>
        <w:ind w:left="720" w:hanging="360"/>
        <w:spacing w:after="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Podleśne 6</w:t>
      </w:r>
    </w:p>
    <w:p>
      <w:pPr>
        <w:numPr>
          <w:ilvl w:val="0"/>
          <w:numId w:val="7"/>
        </w:numPr>
        <w:ind w:left="720" w:hanging="360"/>
        <w:spacing w:after="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Goleszewo 1 </w:t>
      </w:r>
    </w:p>
    <w:p>
      <w:pPr>
        <w:numPr>
          <w:ilvl w:val="0"/>
          <w:numId w:val="7"/>
        </w:numPr>
        <w:ind w:left="720" w:hanging="360"/>
        <w:spacing w:after="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Maciejewo 4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16</w:t>
      </w:r>
      <w:r>
        <w:rPr>
          <w:rFonts w:ascii="Times New Roman" w:hAnsi="Times New Roman"/>
        </w:rPr>
        <w:t>.  Nie przewiduję się sprzedaży:</w:t>
      </w:r>
    </w:p>
    <w:p>
      <w:pPr>
        <w:numPr>
          <w:ilvl w:val="0"/>
          <w:numId w:val="5"/>
        </w:numPr>
        <w:ind w:left="720" w:hanging="360"/>
        <w:spacing w:after="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Lokali socjalnych</w:t>
      </w:r>
    </w:p>
    <w:p>
      <w:pPr>
        <w:numPr>
          <w:ilvl w:val="0"/>
          <w:numId w:val="5"/>
        </w:numPr>
        <w:ind w:left="720" w:hanging="360"/>
        <w:spacing w:after="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Pomieszczeń tymczasowych</w:t>
      </w:r>
    </w:p>
    <w:p>
      <w:pPr>
        <w:numPr>
          <w:ilvl w:val="0"/>
          <w:numId w:val="5"/>
        </w:numPr>
        <w:ind w:left="720" w:hanging="360"/>
        <w:spacing w:after="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Lokali mieszkalnych w budynkach oświatowych</w:t>
      </w:r>
    </w:p>
    <w:p>
      <w:pPr>
        <w:numPr>
          <w:ilvl w:val="0"/>
          <w:numId w:val="5"/>
        </w:numPr>
        <w:ind w:left="720" w:hanging="360"/>
        <w:spacing w:after="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Lokali mieszkalnych osobom nieposiadającym tytułu prawnego do lokalu.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IV</w:t>
      </w:r>
    </w:p>
    <w:p>
      <w:pPr>
        <w:spacing w:after="0" w:line="259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Zasady polityki czynszowej oraz warunki obniżenia czynszu</w:t>
      </w:r>
    </w:p>
    <w:p>
      <w:pPr>
        <w:spacing w:after="0" w:line="259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§ 17.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Wysokość czynszu za lokale wchodzące w skład mieszkaniowego zasobu gminy z wyjątkiem    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opłat niezależnych ustala Wójt Gminy nie częściej niż raz w roku.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 Czynsz najmu za m² powierzchni użytkowej lokali wchodzących w skład mieszkaniowego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zasobu Gminy ustala się na podstawie stawki bazowej za 1 m² powierzchni użytkowej, z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uwzględnieniem czynników podwyższonych stawkę takich jak wyposażenie budynku i lokali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w urządzenia techniczne i instalacje - Tabela nr 8.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Tabela nr 8.</w:t>
      </w:r>
    </w:p>
    <w:tbl>
      <w:tblPr>
        <w:tblStyle w:val="TableGrid"/>
        <w:name w:val="Table8"/>
        <w:tabOrder w:val="0"/>
        <w:jc w:val="left"/>
        <w:tblInd w:w="0" w:type="dxa"/>
        <w:tblW w:w="9062" w:type="dxa"/>
        <w:tblLook w:val="04A0" w:firstRow="1" w:lastRow="0" w:firstColumn="1" w:lastColumn="0" w:noHBand="0" w:noVBand="1"/>
      </w:tblPr>
      <w:tblGrid>
        <w:gridCol w:w="571"/>
        <w:gridCol w:w="5472"/>
        <w:gridCol w:w="3019"/>
      </w:tblGrid>
      <w:tr>
        <w:trPr>
          <w:cantSplit w:val="0"/>
          <w:trHeight w:val="570" w:hRule="atLeast"/>
        </w:trPr>
        <w:tc>
          <w:tcPr>
            <w:tcW w:w="571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L.p.</w:t>
            </w:r>
          </w:p>
        </w:tc>
        <w:tc>
          <w:tcPr>
            <w:tcW w:w="5472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Czynniki wpływające na wysokość czynszu</w:t>
            </w:r>
          </w:p>
        </w:tc>
        <w:tc>
          <w:tcPr>
            <w:tcW w:w="3019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Obniżka/zwyżka w stosunku do stawki bazowej</w:t>
            </w:r>
          </w:p>
        </w:tc>
      </w:tr>
      <w:tr>
        <w:trPr>
          <w:cantSplit w:val="0"/>
          <w:trHeight w:val="0" w:hRule="auto"/>
        </w:trPr>
        <w:tc>
          <w:tcPr>
            <w:tcW w:w="571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72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Korzystne usytuowanie budynków w obrębie zabudowy wiejskiej lub osiedlowej</w:t>
            </w:r>
          </w:p>
        </w:tc>
        <w:tc>
          <w:tcPr>
            <w:tcW w:w="3019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+5%</w:t>
            </w:r>
          </w:p>
        </w:tc>
      </w:tr>
      <w:tr>
        <w:trPr>
          <w:cantSplit w:val="0"/>
          <w:trHeight w:val="0" w:hRule="auto"/>
        </w:trPr>
        <w:tc>
          <w:tcPr>
            <w:tcW w:w="571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72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Niekorzystne usytuowanie</w:t>
            </w:r>
          </w:p>
        </w:tc>
        <w:tc>
          <w:tcPr>
            <w:tcW w:w="3019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-5%</w:t>
            </w:r>
          </w:p>
        </w:tc>
      </w:tr>
      <w:tr>
        <w:trPr>
          <w:cantSplit w:val="0"/>
          <w:trHeight w:val="0" w:hRule="auto"/>
        </w:trPr>
        <w:tc>
          <w:tcPr>
            <w:tcW w:w="571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72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Zły stan techniczny budynków </w:t>
            </w:r>
          </w:p>
        </w:tc>
        <w:tc>
          <w:tcPr>
            <w:tcW w:w="3019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-10%</w:t>
            </w:r>
          </w:p>
        </w:tc>
      </w:tr>
      <w:tr>
        <w:trPr>
          <w:cantSplit w:val="0"/>
          <w:trHeight w:val="0" w:hRule="auto"/>
        </w:trPr>
        <w:tc>
          <w:tcPr>
            <w:tcW w:w="571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472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Mieszkanie ze wszystkimi urządzeniami, ogrzewanie z kotłowni lokalnej </w:t>
            </w:r>
          </w:p>
        </w:tc>
        <w:tc>
          <w:tcPr>
            <w:tcW w:w="3019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0%</w:t>
            </w:r>
          </w:p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71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472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Mieszkanie ze wszystkimi urządzeniami z ogrzewaniem etażowym </w:t>
            </w:r>
          </w:p>
        </w:tc>
        <w:tc>
          <w:tcPr>
            <w:tcW w:w="3019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-14%</w:t>
            </w:r>
          </w:p>
        </w:tc>
      </w:tr>
      <w:tr>
        <w:trPr>
          <w:cantSplit w:val="0"/>
          <w:trHeight w:val="0" w:hRule="auto"/>
        </w:trPr>
        <w:tc>
          <w:tcPr>
            <w:tcW w:w="571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472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Mieszkanie z łazienka i w.c</w:t>
            </w:r>
          </w:p>
        </w:tc>
        <w:tc>
          <w:tcPr>
            <w:tcW w:w="3019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-27%</w:t>
            </w:r>
          </w:p>
        </w:tc>
      </w:tr>
      <w:tr>
        <w:trPr>
          <w:cantSplit w:val="0"/>
          <w:trHeight w:val="0" w:hRule="auto"/>
        </w:trPr>
        <w:tc>
          <w:tcPr>
            <w:tcW w:w="571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472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Mieszkanie z wodą i kanalizacją</w:t>
            </w:r>
          </w:p>
        </w:tc>
        <w:tc>
          <w:tcPr>
            <w:tcW w:w="3019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-48%</w:t>
            </w:r>
          </w:p>
        </w:tc>
      </w:tr>
      <w:tr>
        <w:trPr>
          <w:cantSplit w:val="0"/>
          <w:trHeight w:val="0" w:hRule="auto"/>
        </w:trPr>
        <w:tc>
          <w:tcPr>
            <w:tcW w:w="571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472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Mieszkanie bez wody i kanalizacji</w:t>
            </w:r>
          </w:p>
        </w:tc>
        <w:tc>
          <w:tcPr>
            <w:tcW w:w="3019" w:type="dxa"/>
            <w:tmTcPr id="1577776932" protected="0"/>
          </w:tcPr>
          <w:p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-62%</w:t>
            </w:r>
          </w:p>
        </w:tc>
      </w:tr>
    </w:tbl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3. Ustalony przez Wójta Gminy czynsz, o którym mowa w ust. 1 składać się będzie z czynszu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podstawowego i czynników podwyższających lub obniżających wartość użytkową lokalu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mieszkalnego.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18</w:t>
      </w:r>
      <w:r>
        <w:rPr>
          <w:rFonts w:ascii="Times New Roman" w:hAnsi="Times New Roman"/>
        </w:rPr>
        <w:t>. 1.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Na wniosek najemcy może być udzielona obniżka czynszu o 10% w przypadku, gdy jego średni </w:t>
      </w:r>
      <w:r>
        <w:rPr>
          <w:rFonts w:ascii="Times New Roman" w:hAnsi="Times New Roman"/>
          <w:b/>
          <w:bCs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miesięczny dochód na jednego członka gospodarstwa domowego w okresie trzech miesięcy   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poprzedzających datę złożenia wniosku nie przekracza 30% najniższej emerytury (w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gospodarstwie jednoosobowym) i 20% najniższej emerytury (w gospodarstwie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wieloosobowym).</w:t>
        <w:br w:type="textWrapping"/>
        <w:t xml:space="preserve">         2. Na wniosek najemcy może być udzielona obniżka czynszu o 5% w przypadku, gdy jego średni 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miesięczny dochód na jednego członka gospodarstwa domowego w okresie trzech miesięcy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poprzedzających datę złożenia wniosku nie przekracza 40% najniższej emerytury (w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gospodarstwie jednoosobowym) i 30% najniższej emerytury (w gospodarstwie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wieloosobowym).</w:t>
      </w:r>
    </w:p>
    <w:p>
      <w:pPr>
        <w:spacing w:after="0" w:line="259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spacing w:after="0" w:line="259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V</w:t>
      </w:r>
    </w:p>
    <w:p>
      <w:pPr>
        <w:spacing w:after="0" w:line="259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Sposób i zasady zarządzania lokalami i budynkami wchodzącymi w skład mieszkaniowego zasobu Gminy Braniewo oraz przewidywanie zmiany w zakresie zarządzania mieszkaniowym zasobem w kolejnych latach.</w:t>
      </w:r>
    </w:p>
    <w:p>
      <w:pPr>
        <w:spacing w:after="0" w:line="259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§ 19. </w:t>
      </w:r>
      <w:r>
        <w:rPr>
          <w:rFonts w:ascii="Times New Roman" w:hAnsi="Times New Roman"/>
        </w:rPr>
        <w:t>1. Zasób mieszkaniowy Gminy na dzień 01.10.2019r składa się z 160 lokali mieszkalnych.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2. Zarząd i administrację mieszkaniowym zasobem Gminy Braniewo sprawuje Urząd Gminy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Braniewo.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3. W nieruchomościach, w których z mocy ustawy o własności lokali tworzy się wspólnota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Mieszkaniowa, lokalami będącymi własnością Gminy Braniewo administracją osoby fizyczne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wyłonione przez Wspólnoty Mieszkaniowe.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4. Nie przewiduję się w kolejnych latach zmian w zarządzaniu mieszkaniowym zasobem Gminy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Braniew</w:t>
      </w:r>
    </w:p>
    <w:p>
      <w:pPr>
        <w:spacing w:after="0" w:line="259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spacing w:after="0" w:line="259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spacing w:after="0" w:line="259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spacing w:after="0" w:line="259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VI</w:t>
      </w:r>
    </w:p>
    <w:p>
      <w:pPr>
        <w:spacing w:after="0" w:line="259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Źródła finansowania gospodarki mieszkaniowej w kolejnych latach</w:t>
      </w:r>
    </w:p>
    <w:p>
      <w:pPr>
        <w:spacing w:after="0" w:line="259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§ 20. </w:t>
      </w:r>
      <w:r>
        <w:rPr>
          <w:rFonts w:ascii="Times New Roman" w:hAnsi="Times New Roman"/>
        </w:rPr>
        <w:t>Źródłem finansowania gospodarki mieszkaniowej w kolejnych latach 2019-2023 będą:</w:t>
      </w:r>
    </w:p>
    <w:p>
      <w:pPr>
        <w:numPr>
          <w:ilvl w:val="0"/>
          <w:numId w:val="14"/>
        </w:numPr>
        <w:ind w:left="720" w:hanging="360"/>
        <w:spacing w:after="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wpływy czynszów za lokale mieszkalne,</w:t>
      </w:r>
    </w:p>
    <w:p>
      <w:pPr>
        <w:numPr>
          <w:ilvl w:val="0"/>
          <w:numId w:val="14"/>
        </w:numPr>
        <w:ind w:left="720" w:hanging="360"/>
        <w:spacing w:after="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wpływy za lokale użytkowe,</w:t>
      </w:r>
    </w:p>
    <w:p>
      <w:pPr>
        <w:numPr>
          <w:ilvl w:val="0"/>
          <w:numId w:val="14"/>
        </w:numPr>
        <w:ind w:left="720" w:hanging="360"/>
        <w:spacing w:after="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środki budżetowe,</w:t>
      </w:r>
    </w:p>
    <w:p>
      <w:pPr>
        <w:numPr>
          <w:ilvl w:val="0"/>
          <w:numId w:val="14"/>
        </w:numPr>
        <w:ind w:left="720" w:hanging="360"/>
        <w:spacing w:after="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kredyty i dotacje na cele komunalnego budownictwa mieszkaniowego i socjalnego.</w:t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VII</w:t>
      </w:r>
    </w:p>
    <w:p>
      <w:pPr>
        <w:spacing w:after="0" w:line="259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Polityka Gminy w zakresie racjonalizacji gospodarowania mieszkaniowym zasobem Gminy</w:t>
      </w:r>
    </w:p>
    <w:p>
      <w:pPr>
        <w:spacing w:after="0" w:line="259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§ 21. </w:t>
      </w:r>
      <w:r>
        <w:rPr>
          <w:rFonts w:ascii="Times New Roman" w:hAnsi="Times New Roman"/>
        </w:rPr>
        <w:t xml:space="preserve">1. Lokale stanowiące mieszkaniowy zasób gminy mogą być wynajmowane na czas nieokreślony  </w:t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osobom pozostającym w trudnych warunkach mieszkaniowych i osiągających średni    </w:t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miesięczny dochód w przeliczeniu na jednego mieszkańca gospodarstwa domowego, liczony </w:t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w trzech miesiącach bezpośrednio poprzedzających miesiąc, w którym składany jest wniosek, </w:t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jednak nie wyższy niż:</w:t>
      </w:r>
    </w:p>
    <w:p>
      <w:pPr>
        <w:numPr>
          <w:ilvl w:val="0"/>
          <w:numId w:val="4"/>
        </w:numPr>
        <w:ind w:left="720" w:hanging="360"/>
        <w:spacing w:after="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100 % najniższej emerytury w gospodarstwie wieloosobowym,</w:t>
      </w:r>
    </w:p>
    <w:p>
      <w:pPr>
        <w:numPr>
          <w:ilvl w:val="0"/>
          <w:numId w:val="4"/>
        </w:numPr>
        <w:ind w:left="720" w:hanging="360"/>
        <w:spacing w:after="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150 % najniższej emerytury w gospodarstwie jednoosobowym.</w:t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2. Za dochód, o którym mowa w ust. 1 uważa się dochód w rozumieniu przepisów ustawy z dnia  </w:t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21 czerwca 2001r. o dodatkach mieszkaniowych (t.j. Dz. U. z 2017r. poz.180 z późn. zm.).</w:t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VIII</w:t>
      </w:r>
    </w:p>
    <w:p>
      <w:pPr>
        <w:spacing w:after="0" w:line="259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Wysokość kosztów w kolejnych latach, z podziałem na koszty bieżącej eksploatacji, koszty remontów oraz koszty modernizacji lokali i budynków wchodzących w skład zasobu mieszkaniowego, koszty zarządu nieruchomościami wspólnymi, których Gmina Braniewo jest jednym ze współwłaścicieli oraz koszty inwestycyjne.</w:t>
      </w:r>
    </w:p>
    <w:p>
      <w:pPr>
        <w:spacing w:after="0" w:line="259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spacing w:after="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§ 22. </w:t>
      </w:r>
      <w:r>
        <w:rPr>
          <w:rFonts w:ascii="Times New Roman" w:hAnsi="Times New Roman"/>
        </w:rPr>
        <w:t xml:space="preserve">Wpływy z czynszu najmu lokali mieszkaniowych i użytkowych przeznaczone będą w całości na </w:t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utrzymanie zasobu mieszkaniowego Gminy Braniewo.</w:t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§ 23. </w:t>
      </w:r>
      <w:r>
        <w:rPr>
          <w:rFonts w:ascii="Times New Roman" w:hAnsi="Times New Roman"/>
        </w:rPr>
        <w:t xml:space="preserve">Koszty utrzymania mieszkaniowego zasobu Gminy Braniewo i koszty zarządu </w:t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nieruchomościami wspólnymi przedstawia tabela nr 9</w:t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Tabela nr 9</w:t>
      </w:r>
    </w:p>
    <w:tbl>
      <w:tblPr>
        <w:tblStyle w:val="TableNormal"/>
        <w:name w:val="Table9"/>
        <w:tabOrder w:val="0"/>
        <w:jc w:val="left"/>
        <w:tblInd w:w="3" w:type="dxa"/>
        <w:tblW w:w="9495" w:type="dxa"/>
        <w:tblLook w:val="0000" w:firstRow="0" w:lastRow="0" w:firstColumn="0" w:lastColumn="0" w:noHBand="0" w:noVBand="0"/>
      </w:tblPr>
      <w:tblGrid>
        <w:gridCol w:w="630"/>
        <w:gridCol w:w="2790"/>
        <w:gridCol w:w="1035"/>
        <w:gridCol w:w="1140"/>
        <w:gridCol w:w="1200"/>
        <w:gridCol w:w="1350"/>
        <w:gridCol w:w="1350"/>
      </w:tblGrid>
      <w:tr>
        <w:trPr>
          <w:cantSplit w:val="0"/>
          <w:trHeight w:val="248" w:hRule="atLeast"/>
        </w:trPr>
        <w:tc>
          <w:tcPr>
            <w:tcW w:w="630" w:type="dxa"/>
            <w:vMerge w:val="restart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L.p.</w:t>
            </w:r>
          </w:p>
        </w:tc>
        <w:tc>
          <w:tcPr>
            <w:tcW w:w="2790" w:type="dxa"/>
            <w:vMerge w:val="restart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kosztów</w:t>
            </w:r>
          </w:p>
        </w:tc>
        <w:tc>
          <w:tcPr>
            <w:tcW w:w="6075" w:type="dxa"/>
            <w:gridSpan w:val="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Wysokość kosztów w poszczególnych latach w zł</w:t>
            </w:r>
          </w:p>
        </w:tc>
      </w:tr>
      <w:tr>
        <w:trPr>
          <w:cantSplit w:val="0"/>
          <w:trHeight w:val="285" w:hRule="atLeast"/>
        </w:trPr>
        <w:tc>
          <w:tcPr>
            <w:tcW w:w="630" w:type="dxa"/>
            <w:vMerge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/>
        </w:tc>
        <w:tc>
          <w:tcPr>
            <w:tcW w:w="2790" w:type="dxa"/>
            <w:vMerge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/>
        </w:tc>
        <w:tc>
          <w:tcPr>
            <w:tcW w:w="1035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14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0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35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35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>
        <w:trPr>
          <w:cantSplit w:val="0"/>
          <w:trHeight w:val="795" w:hRule="atLeast"/>
        </w:trPr>
        <w:tc>
          <w:tcPr>
            <w:tcW w:w="63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9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Koszty bieżącej eksploatacji</w:t>
            </w:r>
          </w:p>
          <w:p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Zasobu mieszkaniowego Gminy Braniewo</w:t>
            </w:r>
          </w:p>
        </w:tc>
        <w:tc>
          <w:tcPr>
            <w:tcW w:w="1035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23 800 zł</w:t>
            </w:r>
          </w:p>
        </w:tc>
        <w:tc>
          <w:tcPr>
            <w:tcW w:w="114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23 800 zł</w:t>
            </w:r>
          </w:p>
        </w:tc>
        <w:tc>
          <w:tcPr>
            <w:tcW w:w="120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24 800 zł</w:t>
            </w:r>
          </w:p>
        </w:tc>
        <w:tc>
          <w:tcPr>
            <w:tcW w:w="135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24 800 zł</w:t>
            </w:r>
          </w:p>
        </w:tc>
        <w:tc>
          <w:tcPr>
            <w:tcW w:w="135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25 000 zł</w:t>
            </w:r>
          </w:p>
        </w:tc>
      </w:tr>
      <w:tr>
        <w:trPr>
          <w:cantSplit w:val="0"/>
          <w:trHeight w:val="723" w:hRule="atLeast"/>
        </w:trPr>
        <w:tc>
          <w:tcPr>
            <w:tcW w:w="63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9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Koszty remontów i modernizacji zasobu mieszkaniowego Gminy Braniewo</w:t>
            </w:r>
          </w:p>
        </w:tc>
        <w:tc>
          <w:tcPr>
            <w:tcW w:w="1035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43 500 zł</w:t>
            </w:r>
          </w:p>
        </w:tc>
        <w:tc>
          <w:tcPr>
            <w:tcW w:w="114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43 500 zł</w:t>
            </w:r>
          </w:p>
        </w:tc>
        <w:tc>
          <w:tcPr>
            <w:tcW w:w="120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44 810 zł</w:t>
            </w:r>
          </w:p>
        </w:tc>
        <w:tc>
          <w:tcPr>
            <w:tcW w:w="135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44 810 zł</w:t>
            </w:r>
          </w:p>
        </w:tc>
        <w:tc>
          <w:tcPr>
            <w:tcW w:w="135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45 700 zł</w:t>
            </w:r>
          </w:p>
        </w:tc>
      </w:tr>
      <w:tr>
        <w:trPr>
          <w:cantSplit w:val="0"/>
          <w:trHeight w:val="420" w:hRule="atLeast"/>
        </w:trPr>
        <w:tc>
          <w:tcPr>
            <w:tcW w:w="63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79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Koszty zarządu nieruchomościami wspólnymi</w:t>
            </w:r>
          </w:p>
        </w:tc>
        <w:tc>
          <w:tcPr>
            <w:tcW w:w="1035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26 746 zł</w:t>
            </w:r>
          </w:p>
        </w:tc>
        <w:tc>
          <w:tcPr>
            <w:tcW w:w="114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27 009 zł</w:t>
            </w:r>
          </w:p>
        </w:tc>
        <w:tc>
          <w:tcPr>
            <w:tcW w:w="120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27 247 zł</w:t>
            </w:r>
          </w:p>
        </w:tc>
        <w:tc>
          <w:tcPr>
            <w:tcW w:w="135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27 487 zł</w:t>
            </w:r>
          </w:p>
        </w:tc>
        <w:tc>
          <w:tcPr>
            <w:tcW w:w="135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27 751 zł</w:t>
            </w:r>
          </w:p>
        </w:tc>
      </w:tr>
      <w:tr>
        <w:trPr>
          <w:cantSplit w:val="0"/>
          <w:trHeight w:val="651" w:hRule="atLeast"/>
        </w:trPr>
        <w:tc>
          <w:tcPr>
            <w:tcW w:w="63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79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Koszty funduszu remontowego nieruchomości wspólnych koszty inwestycyjne</w:t>
            </w:r>
          </w:p>
          <w:p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5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46 387 zł</w:t>
            </w:r>
          </w:p>
        </w:tc>
        <w:tc>
          <w:tcPr>
            <w:tcW w:w="114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46 839 zł</w:t>
            </w:r>
          </w:p>
        </w:tc>
        <w:tc>
          <w:tcPr>
            <w:tcW w:w="120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47 289 zł</w:t>
            </w:r>
          </w:p>
        </w:tc>
        <w:tc>
          <w:tcPr>
            <w:tcW w:w="135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47 744 zł</w:t>
            </w:r>
          </w:p>
        </w:tc>
        <w:tc>
          <w:tcPr>
            <w:tcW w:w="1350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48 204 zł</w:t>
            </w:r>
          </w:p>
        </w:tc>
      </w:tr>
    </w:tbl>
    <w:p>
      <w:pPr>
        <w:spacing w:after="0" w:line="259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IX</w:t>
      </w:r>
    </w:p>
    <w:p>
      <w:pPr>
        <w:spacing w:after="0" w:line="259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Opis pozostałych działań mających na celu poprawę wykorzystania i racjonalizację gospodarowania mieszkaniowym zasobem Gminy Braniewo, a w szczególności niezbędny zakres zamian lokali związanych z remontami budynków i lokali oraz planowania sprzedaży lokali</w:t>
      </w:r>
    </w:p>
    <w:p>
      <w:pPr>
        <w:spacing w:after="0" w:line="259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§ 24. </w:t>
      </w:r>
      <w:r>
        <w:rPr>
          <w:rFonts w:ascii="Times New Roman" w:hAnsi="Times New Roman"/>
        </w:rPr>
        <w:t xml:space="preserve">1. W celu racjonalnego wykorzystania zasobu mieszkaniowego konieczne jest przeprowadzenie  </w:t>
      </w:r>
    </w:p>
    <w:p>
      <w:pPr>
        <w:spacing w:after="0" w:line="259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zamian lokali.</w:t>
      </w:r>
      <w:r>
        <w:rPr>
          <w:rFonts w:ascii="Times New Roman" w:hAnsi="Times New Roman"/>
          <w:b/>
          <w:bCs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2. Zamiany dokonywane są na pisemny wniosek najemcy bądź z urzędu.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3. Rodzinom posiadającym źródła dochodu uniemożliwiające im utrzymanie lokalu mieszkalnego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bez zadłużenia i we właściwym stanie technicznym, będą składać oferty zamiany na inne lokale,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o niższym standardzie.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4. Gmina Braniewo w celu zwolnienia lokali mieszkaniowych o obniżonej wartości użytkowej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przekwalifikuję je na lokale będące przedmiotem najmu socjalnego.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§ 25. </w:t>
      </w:r>
      <w:r>
        <w:rPr>
          <w:rFonts w:ascii="Times New Roman" w:hAnsi="Times New Roman"/>
        </w:rPr>
        <w:t xml:space="preserve">Mieszkania zamienne na czas remontu, zabezpieczone są na bieżąco w związku z naturalnym </w:t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ruchem ludności ( np. zgon, rozliczenie z dotychczas zajmowanego lokalu).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26.</w:t>
      </w:r>
      <w:r>
        <w:rPr>
          <w:rFonts w:ascii="Times New Roman" w:hAnsi="Times New Roman"/>
        </w:rPr>
        <w:t xml:space="preserve"> Nastąpi ograniczenie sprzedaży lokali z bonifikatą, w celu pozostawienia zasobu mieszkaniowego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Gminy Braniewo pozwalającego na zaspokojenie potrzeb w zakresie lokali będących przedmiotem  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najmu socjalnego i pomieszczeń tymczasowych.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§ 27. </w:t>
      </w:r>
      <w:r>
        <w:rPr>
          <w:rFonts w:ascii="Times New Roman" w:hAnsi="Times New Roman"/>
        </w:rPr>
        <w:t xml:space="preserve">Za niezbędne uznaję się działania zmierzające do poprawy wykorzystania i racjonalizacji 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gospodarowania mieszkaniowym zasobem Gminy Braniewo, w szczególności pozwalające na:</w:t>
      </w:r>
    </w:p>
    <w:p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numPr>
          <w:ilvl w:val="0"/>
          <w:numId w:val="13"/>
        </w:numPr>
        <w:ind w:left="720" w:hanging="360"/>
        <w:spacing w:after="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zapewnieniu lokali będących przedmiotem najmu socjalnego i pomieszczeń tymczasowych w celu bieżącej realizacji wyroków eksmisji;</w:t>
      </w:r>
    </w:p>
    <w:p>
      <w:pPr>
        <w:numPr>
          <w:ilvl w:val="0"/>
          <w:numId w:val="13"/>
        </w:numPr>
        <w:ind w:left="720" w:hanging="360"/>
        <w:spacing w:after="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poprawienie stanu technicznego mieszkaniowego zasobu Gminy Braniewo;</w:t>
      </w:r>
    </w:p>
    <w:p>
      <w:pPr>
        <w:numPr>
          <w:ilvl w:val="0"/>
          <w:numId w:val="13"/>
        </w:numPr>
        <w:ind w:left="720" w:hanging="360"/>
        <w:spacing w:after="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wyłączeniu budynków mieszkalnych w złym stanie technicznym z użytkowania ze względu na zagrożenie życia lub zdrowia mieszkańców.</w:t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1 </w:t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Analiza potrzeb oraz planu remontów i modernizacji zasobu mieszkaniowego wynikający ze stanu technicznego budynków.</w:t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Normal"/>
        <w:name w:val="Table10"/>
        <w:tabOrder w:val="0"/>
        <w:jc w:val="left"/>
        <w:tblInd w:w="0" w:type="dxa"/>
        <w:tblW w:w="8180" w:type="dxa"/>
        <w:tblLook w:val="04A0" w:firstRow="1" w:lastRow="0" w:firstColumn="1" w:lastColumn="0" w:noHBand="0" w:noVBand="1"/>
      </w:tblPr>
      <w:tblGrid>
        <w:gridCol w:w="704"/>
        <w:gridCol w:w="1985"/>
        <w:gridCol w:w="5491"/>
      </w:tblGrid>
      <w:tr>
        <w:trPr>
          <w:cantSplit w:val="0"/>
          <w:trHeight w:val="617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</w:rPr>
              <w:t>L.p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</w:rPr>
              <w:t>Miejscowość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</w:rPr>
              <w:t>Plan remontów i modernizacji na lata 2019-2023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Bemowizna 6/5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Bemowizna 9/1-3,9/6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Bemowizna 25/2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Wykonanie instalacji c.o.</w:t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Bemowizna 18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Remont dachu na budynku socjalnym.</w:t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Brzeszczyny 2/1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Brzeszczyny 3/2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Brzeszczyny 7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Brzeszczyny 9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Wymiana instalacji odgromowej oraz piorunochronowej na budynku</w:t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Brzeszczyny 25/2</w:t>
            </w:r>
          </w:p>
        </w:tc>
        <w:tc>
          <w:tcPr>
            <w:tcW w:w="5491" w:type="dxa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Cielętnik 5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Wykonanie odpływu instalacji kanalizacyjnej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Cielętnik 7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Remont dachu</w:t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Goleszewo 1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Goleszewo  3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Goleszewo 4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Wymiana pieca c.o. Goleszewo 4/3, montaż zbiornika bezodpływowego zaadaptowanie łazienki której brak w lokalu Goleszewo 4/5</w:t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Gronówko 12/3,12/4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Remont podłogi w kuchni oraz w pokoju, wykonanie odpływu instalacji kanalizacyjnej 12/3</w:t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Gronówko 3/2,3/4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Gronówko 11/1, 11/2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Gronówko 11/1  demontaż i montaż  schodów na strych i do piwnicy, remont podłogi w pokojach, wymiana okna na strychu</w:t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Gronówko 13/1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Remont podłogi w kuchni oraz 2 pokojach, naprawa pieca kaflowego</w:t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Gronówko 9/1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Gronówko 5B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Gronówko 4/1-3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5" w:type="dxa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Grzędowo 1/2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Klejnowo 10/1-2,5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Remont lokalu Klejnowo 10/1</w:t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Krzewno 54a/4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Lipowina 6</w:t>
            </w:r>
          </w:p>
        </w:tc>
        <w:tc>
          <w:tcPr>
            <w:tcW w:w="5491" w:type="dxa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Naprawa zewnętrznej instalacji elektrycznej</w:t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Lipowina 7, 7A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Maciejewo 8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Maciejewo 8/3 Remont podłogi w kuchni</w:t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Marcinkowo 1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Młoteczno 5a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 xml:space="preserve">Ocieplenie budynku </w:t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Podleśne 6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Podlesne 2/1,2/3,2/4,2/5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Podleśne 12/2-5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 xml:space="preserve">Remont dachu </w:t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Rudłowo 5/3,5/4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Rudłowo 6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Rusy 3AB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85" w:type="dxa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Rydzówka 1/2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Stępień 11/3,4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Stępień 1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Strubiny 2/1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Strubiny 2/2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Wymiana okien, wykonanie instalacji c.o.</w:t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85" w:type="dxa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Strubiny 3b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Strubiny 4b</w:t>
            </w:r>
          </w:p>
        </w:tc>
        <w:tc>
          <w:tcPr>
            <w:tcW w:w="5491" w:type="dxa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Montaż wkładu kominowego</w:t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Strubiny 5a/5b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 xml:space="preserve">Remont dachu </w:t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Szyleny Osada 1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85" w:type="dxa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Szyleny 13/1,2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985" w:type="dxa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Ułowo 1/10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Zgoda 8/3</w:t>
            </w:r>
          </w:p>
        </w:tc>
        <w:tc>
          <w:tcPr>
            <w:tcW w:w="5491" w:type="dxa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Zgoda 11a/2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Żelazna Góra 2/2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Żelazna Góra 42/3</w:t>
            </w:r>
          </w:p>
        </w:tc>
        <w:tc>
          <w:tcPr>
            <w:tcW w:w="5491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704" w:type="dxa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85" w:type="dxa"/>
            <w:vAlign w:val="bottom"/>
            <w:shd w:val="none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  <w:t>Żelazna Góra 3/2</w:t>
            </w:r>
          </w:p>
        </w:tc>
        <w:tc>
          <w:tcPr>
            <w:tcW w:w="5491" w:type="dxa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776932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r>
          </w:p>
        </w:tc>
      </w:tr>
    </w:tbl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r/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7" w:top="1417" w:right="1417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Segoe UI">
    <w:panose1 w:val="020B0502040204020203"/>
    <w:charset w:val="ee"/>
    <w:family w:val="swiss"/>
    <w:pitch w:val="default"/>
  </w:font>
  <w:font w:name="Liberation Sans">
    <w:panose1 w:val="020B0604020202020204"/>
    <w:charset w:val="ee"/>
    <w:family w:val="swiss"/>
    <w:pitch w:val="default"/>
  </w:font>
  <w:font w:name="Microsoft YaHei">
    <w:panose1 w:val="020B0503020204020204"/>
    <w:charset w:val="86"/>
    <w:family w:val="swiss"/>
    <w:pitch w:val="default"/>
  </w:font>
  <w:font w:name="Arial Unicode MS">
    <w:panose1 w:val="020B0600070205080204"/>
    <w:charset w:val="80"/>
    <w:family w:val="swiss"/>
    <w:pitch w:val="default"/>
  </w:font>
  <w:font w:name="Cambria">
    <w:panose1 w:val="02040503050406030204"/>
    <w:charset w:val="ee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Numbered list 2"/>
    <w:lvl w:ilvl="0">
      <w:start w:val="1"/>
      <w:numFmt w:val="lowerLetter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Numbered list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Numbered list 4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Numbered list 5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6">
    <w:multiLevelType w:val="hybridMultilevel"/>
    <w:name w:val="Numbered list 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7">
    <w:multiLevelType w:val="hybridMultilevel"/>
    <w:name w:val="Numbered list 7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8">
    <w:multiLevelType w:val="hybridMultilevel"/>
    <w:name w:val="Numbered list 8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9">
    <w:multiLevelType w:val="hybridMultilevel"/>
    <w:name w:val="Numbered list 9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0">
    <w:multiLevelType w:val="hybridMultilevel"/>
    <w:name w:val="Numbered list 10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1">
    <w:multiLevelType w:val="hybridMultilevel"/>
    <w:name w:val="Numbered list 1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2">
    <w:multiLevelType w:val="hybridMultilevel"/>
    <w:name w:val="Numbered list 12"/>
    <w:lvl w:ilvl="0">
      <w:start w:val="1"/>
      <w:numFmt w:val="decimal"/>
      <w:suff w:val="tab"/>
      <w:lvlText w:val="%1."/>
      <w:lvlJc w:val="left"/>
      <w:pPr>
        <w:ind w:left="720" w:hanging="0"/>
      </w:pPr>
    </w:lvl>
    <w:lvl w:ilvl="1">
      <w:start w:val="1"/>
      <w:numFmt w:val="lowerLetter"/>
      <w:suff w:val="tab"/>
      <w:lvlText w:val="%2."/>
      <w:lvlJc w:val="left"/>
      <w:pPr>
        <w:ind w:left="1440" w:hanging="0"/>
      </w:pPr>
    </w:lvl>
    <w:lvl w:ilvl="2">
      <w:start w:val="1"/>
      <w:numFmt w:val="lowerRoman"/>
      <w:suff w:val="tab"/>
      <w:lvlText w:val="%3."/>
      <w:lvlJc w:val="left"/>
      <w:pPr>
        <w:ind w:left="2340" w:hanging="0"/>
      </w:pPr>
    </w:lvl>
    <w:lvl w:ilvl="3">
      <w:start w:val="1"/>
      <w:numFmt w:val="decimal"/>
      <w:suff w:val="tab"/>
      <w:lvlText w:val="%4."/>
      <w:lvlJc w:val="left"/>
      <w:pPr>
        <w:ind w:left="2880" w:hanging="0"/>
      </w:pPr>
    </w:lvl>
    <w:lvl w:ilvl="4">
      <w:start w:val="1"/>
      <w:numFmt w:val="lowerLetter"/>
      <w:suff w:val="tab"/>
      <w:lvlText w:val="%5."/>
      <w:lvlJc w:val="left"/>
      <w:pPr>
        <w:ind w:left="3600" w:hanging="0"/>
      </w:pPr>
    </w:lvl>
    <w:lvl w:ilvl="5">
      <w:start w:val="1"/>
      <w:numFmt w:val="lowerRoman"/>
      <w:suff w:val="tab"/>
      <w:lvlText w:val="%6."/>
      <w:lvlJc w:val="left"/>
      <w:pPr>
        <w:ind w:left="4500" w:hanging="0"/>
      </w:pPr>
    </w:lvl>
    <w:lvl w:ilvl="6">
      <w:start w:val="1"/>
      <w:numFmt w:val="decimal"/>
      <w:suff w:val="tab"/>
      <w:lvlText w:val="%7."/>
      <w:lvlJc w:val="left"/>
      <w:pPr>
        <w:ind w:left="5040" w:hanging="0"/>
      </w:pPr>
    </w:lvl>
    <w:lvl w:ilvl="7">
      <w:start w:val="1"/>
      <w:numFmt w:val="lowerLetter"/>
      <w:suff w:val="tab"/>
      <w:lvlText w:val="%8."/>
      <w:lvlJc w:val="left"/>
      <w:pPr>
        <w:ind w:left="5760" w:hanging="0"/>
      </w:pPr>
    </w:lvl>
    <w:lvl w:ilvl="8">
      <w:start w:val="1"/>
      <w:numFmt w:val="lowerRoman"/>
      <w:suff w:val="tab"/>
      <w:lvlText w:val="%9."/>
      <w:lvlJc w:val="left"/>
      <w:pPr>
        <w:ind w:left="6660" w:hanging="0"/>
      </w:pPr>
    </w:lvl>
  </w:abstractNum>
  <w:abstractNum w:abstractNumId="13">
    <w:multiLevelType w:val="hybridMultilevel"/>
    <w:name w:val="Numbered list 13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4">
    <w:multiLevelType w:val="hybridMultilevel"/>
    <w:name w:val="Numbered list 14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5">
    <w:multiLevelType w:val="hybridMultilevel"/>
    <w:name w:val="Numbered list 15"/>
    <w:lvl w:ilvl="0">
      <w:start w:val="1"/>
      <w:numFmt w:val="lowerLetter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77776932" w:val="973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2">
    <w:name w:val="Header"/>
    <w:qFormat/>
    <w:basedOn w:val="para0"/>
    <w:next w:val="para3"/>
    <w:pPr>
      <w:spacing w:before="240" w:after="120" w:line="259" w:lineRule="auto"/>
      <w:keepNext/>
    </w:pPr>
    <w:rPr>
      <w:rFonts w:ascii="Liberation Sans" w:hAnsi="Liberation Sans" w:eastAsia="Microsoft YaHei" w:cs="Arial Unicode MS"/>
      <w:sz w:val="28"/>
      <w:szCs w:val="28"/>
    </w:rPr>
  </w:style>
  <w:style w:type="paragraph" w:styleId="para3">
    <w:name w:val="Body Text"/>
    <w:qFormat/>
    <w:basedOn w:val="para0"/>
    <w:pPr>
      <w:spacing w:after="140" w:line="276" w:lineRule="auto"/>
    </w:pPr>
  </w:style>
  <w:style w:type="paragraph" w:styleId="para4">
    <w:name w:val="List"/>
    <w:qFormat/>
    <w:basedOn w:val="para3"/>
    <w:rPr>
      <w:rFonts w:cs="Arial Unicode MS"/>
    </w:rPr>
  </w:style>
  <w:style w:type="paragraph" w:styleId="para5">
    <w:name w:val="caption"/>
    <w:qFormat/>
    <w:basedOn w:val="para0"/>
    <w:pPr>
      <w:spacing w:before="120" w:after="120" w:line="259" w:lineRule="auto"/>
      <w:suppressLineNumbers/>
    </w:pPr>
    <w:rPr>
      <w:rFonts w:cs="Arial Unicode MS"/>
      <w:i/>
      <w:iCs/>
      <w:sz w:val="24"/>
      <w:szCs w:val="24"/>
    </w:rPr>
  </w:style>
  <w:style w:type="paragraph" w:styleId="para6" w:customStyle="1">
    <w:name w:val="Indeks"/>
    <w:qFormat/>
    <w:basedOn w:val="para0"/>
    <w:pPr>
      <w:spacing w:line="259" w:lineRule="auto"/>
      <w:suppressLineNumbers/>
    </w:pPr>
    <w:rPr>
      <w:rFonts w:cs="Arial Unicode MS"/>
    </w:rPr>
  </w:style>
  <w:style w:type="paragraph" w:styleId="para7">
    <w:name w:val="List Paragraph"/>
    <w:qFormat/>
    <w:basedOn w:val="para0"/>
    <w:pPr>
      <w:ind w:left="720"/>
      <w:spacing w:line="259" w:lineRule="auto"/>
      <w:contextualSpacing/>
    </w:pPr>
  </w:style>
  <w:style w:type="paragraph" w:styleId="para8" w:customStyle="1">
    <w:name w:val="Zawartość tabeli"/>
    <w:qFormat/>
    <w:basedOn w:val="para0"/>
    <w:pPr>
      <w:spacing w:line="259" w:lineRule="auto"/>
      <w:suppressLineNumbers/>
    </w:pPr>
  </w:style>
  <w:style w:type="paragraph" w:styleId="para9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Segoe UI" w:hAnsi="Segoe UI" w:cs="Segoe UI"/>
      <w:sz w:val="18"/>
      <w:szCs w:val="18"/>
    </w:rPr>
  </w:style>
  <w:style w:type="character" w:styleId="char2" w:customStyle="1">
    <w:name w:val="Nagłówek Znak"/>
    <w:basedOn w:val="char0"/>
    <w:rPr>
      <w:rFonts w:ascii="Liberation Sans" w:hAnsi="Liberation Sans" w:eastAsia="Microsoft YaHei" w:cs="Arial Unicode MS"/>
      <w:sz w:val="28"/>
      <w:szCs w:val="28"/>
    </w:rPr>
  </w:style>
  <w:style w:type="character" w:styleId="char3" w:customStyle="1">
    <w:name w:val="Tekst podstawowy Znak"/>
    <w:basedOn w:val="char0"/>
  </w:style>
  <w:style w:type="character" w:styleId="char4" w:customStyle="1">
    <w:name w:val="Stopka Znak"/>
    <w:basedOn w:val="char0"/>
  </w:style>
  <w:style w:type="character" w:styleId="char5">
    <w:name w:val="Placeholder Text"/>
    <w:basedOn w:val="char0"/>
    <w:rPr>
      <w:color w:val="808080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2">
    <w:name w:val="Header"/>
    <w:qFormat/>
    <w:basedOn w:val="para0"/>
    <w:next w:val="para3"/>
    <w:pPr>
      <w:spacing w:before="240" w:after="120" w:line="259" w:lineRule="auto"/>
      <w:keepNext/>
    </w:pPr>
    <w:rPr>
      <w:rFonts w:ascii="Liberation Sans" w:hAnsi="Liberation Sans" w:eastAsia="Microsoft YaHei" w:cs="Arial Unicode MS"/>
      <w:sz w:val="28"/>
      <w:szCs w:val="28"/>
    </w:rPr>
  </w:style>
  <w:style w:type="paragraph" w:styleId="para3">
    <w:name w:val="Body Text"/>
    <w:qFormat/>
    <w:basedOn w:val="para0"/>
    <w:pPr>
      <w:spacing w:after="140" w:line="276" w:lineRule="auto"/>
    </w:pPr>
  </w:style>
  <w:style w:type="paragraph" w:styleId="para4">
    <w:name w:val="List"/>
    <w:qFormat/>
    <w:basedOn w:val="para3"/>
    <w:rPr>
      <w:rFonts w:cs="Arial Unicode MS"/>
    </w:rPr>
  </w:style>
  <w:style w:type="paragraph" w:styleId="para5">
    <w:name w:val="caption"/>
    <w:qFormat/>
    <w:basedOn w:val="para0"/>
    <w:pPr>
      <w:spacing w:before="120" w:after="120" w:line="259" w:lineRule="auto"/>
      <w:suppressLineNumbers/>
    </w:pPr>
    <w:rPr>
      <w:rFonts w:cs="Arial Unicode MS"/>
      <w:i/>
      <w:iCs/>
      <w:sz w:val="24"/>
      <w:szCs w:val="24"/>
    </w:rPr>
  </w:style>
  <w:style w:type="paragraph" w:styleId="para6" w:customStyle="1">
    <w:name w:val="Indeks"/>
    <w:qFormat/>
    <w:basedOn w:val="para0"/>
    <w:pPr>
      <w:spacing w:line="259" w:lineRule="auto"/>
      <w:suppressLineNumbers/>
    </w:pPr>
    <w:rPr>
      <w:rFonts w:cs="Arial Unicode MS"/>
    </w:rPr>
  </w:style>
  <w:style w:type="paragraph" w:styleId="para7">
    <w:name w:val="List Paragraph"/>
    <w:qFormat/>
    <w:basedOn w:val="para0"/>
    <w:pPr>
      <w:ind w:left="720"/>
      <w:spacing w:line="259" w:lineRule="auto"/>
      <w:contextualSpacing/>
    </w:pPr>
  </w:style>
  <w:style w:type="paragraph" w:styleId="para8" w:customStyle="1">
    <w:name w:val="Zawartość tabeli"/>
    <w:qFormat/>
    <w:basedOn w:val="para0"/>
    <w:pPr>
      <w:spacing w:line="259" w:lineRule="auto"/>
      <w:suppressLineNumbers/>
    </w:pPr>
  </w:style>
  <w:style w:type="paragraph" w:styleId="para9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Segoe UI" w:hAnsi="Segoe UI" w:cs="Segoe UI"/>
      <w:sz w:val="18"/>
      <w:szCs w:val="18"/>
    </w:rPr>
  </w:style>
  <w:style w:type="character" w:styleId="char2" w:customStyle="1">
    <w:name w:val="Nagłówek Znak"/>
    <w:basedOn w:val="char0"/>
    <w:rPr>
      <w:rFonts w:ascii="Liberation Sans" w:hAnsi="Liberation Sans" w:eastAsia="Microsoft YaHei" w:cs="Arial Unicode MS"/>
      <w:sz w:val="28"/>
      <w:szCs w:val="28"/>
    </w:rPr>
  </w:style>
  <w:style w:type="character" w:styleId="char3" w:customStyle="1">
    <w:name w:val="Tekst podstawowy Znak"/>
    <w:basedOn w:val="char0"/>
  </w:style>
  <w:style w:type="character" w:styleId="char4" w:customStyle="1">
    <w:name w:val="Stopka Znak"/>
    <w:basedOn w:val="char0"/>
  </w:style>
  <w:style w:type="character" w:styleId="char5">
    <w:name w:val="Placeholder Text"/>
    <w:basedOn w:val="char0"/>
    <w:rPr>
      <w:color w:val="808080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12</cp:revision>
  <cp:lastPrinted>2019-12-12T09:36:00Z</cp:lastPrinted>
  <dcterms:created xsi:type="dcterms:W3CDTF">2019-11-28T11:17:00Z</dcterms:created>
  <dcterms:modified xsi:type="dcterms:W3CDTF">2019-12-31T07:22:12Z</dcterms:modified>
</cp:coreProperties>
</file>