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>
      <v:fill opacity="0f"/>
    </v:background>
  </w:background>
  <w:body>
    <w:p>
      <w:pPr>
        <w:pStyle w:val="892"/>
        <w:pBdr/>
        <w:spacing/>
        <w:ind w:right="0" w:firstLine="0" w:left="0"/>
        <w:rPr/>
      </w:pPr>
      <w:r>
        <w:t xml:space="preserve">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Załącznik do</w:t>
      </w:r>
      <w:r/>
    </w:p>
    <w:p>
      <w:pPr>
        <w:pStyle w:val="892"/>
        <w:pBdr/>
        <w:spacing/>
        <w:ind w:right="0" w:firstLine="0" w:left="0"/>
        <w:rPr/>
      </w:pPr>
      <w:r>
        <w:t xml:space="preserve">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Zarządzenia Nr </w:t>
      </w:r>
      <w:r>
        <w:rPr>
          <w:color w:val="000000"/>
          <w:shd w:val="clear" w:color="auto" w:fill="ffffff"/>
        </w:rPr>
        <w:t xml:space="preserve">73/</w:t>
      </w:r>
      <w:r>
        <w:t xml:space="preserve">IX/2025</w:t>
      </w:r>
      <w:r/>
    </w:p>
    <w:p>
      <w:pPr>
        <w:pStyle w:val="892"/>
        <w:pBdr/>
        <w:spacing/>
        <w:ind w:right="0" w:firstLine="0" w:left="0"/>
        <w:rPr/>
      </w:pPr>
      <w:r>
        <w:t xml:space="preserve">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Wójta Gminy Braniewo</w:t>
      </w:r>
      <w:r/>
    </w:p>
    <w:p>
      <w:pPr>
        <w:pStyle w:val="892"/>
        <w:pBdr/>
        <w:spacing/>
        <w:ind w:right="0" w:firstLine="0" w:left="0"/>
        <w:rPr/>
      </w:pPr>
      <w:r>
        <w:t xml:space="preserve">                             </w:t>
      </w:r>
      <w:r>
        <w:t xml:space="preserve">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z dnia 27 października 2025 r. </w:t>
      </w:r>
      <w:r>
        <w:rPr>
          <w:sz w:val="21"/>
          <w:szCs w:val="21"/>
        </w:rPr>
        <w:t xml:space="preserve">                       </w:t>
      </w:r>
      <w:r/>
    </w:p>
    <w:p>
      <w:pPr>
        <w:pStyle w:val="895"/>
        <w:numPr>
          <w:ilvl w:val="4"/>
          <w:numId w:val="1"/>
        </w:numPr>
        <w:pBdr/>
        <w:spacing/>
        <w:ind w:right="0" w:firstLine="0" w:left="0"/>
        <w:jc w:val="center"/>
        <w:rPr/>
      </w:pPr>
      <w:r>
        <w:rPr>
          <w:b/>
          <w:sz w:val="21"/>
          <w:szCs w:val="21"/>
          <w:highlight w:val="none"/>
        </w:rPr>
      </w:r>
      <w:r>
        <w:rPr>
          <w:b/>
          <w:sz w:val="21"/>
          <w:szCs w:val="21"/>
          <w:highlight w:val="none"/>
        </w:rPr>
      </w:r>
      <w:r/>
    </w:p>
    <w:p>
      <w:pPr>
        <w:pStyle w:val="895"/>
        <w:numPr>
          <w:ilvl w:val="4"/>
          <w:numId w:val="1"/>
        </w:numPr>
        <w:pBdr/>
        <w:spacing/>
        <w:ind w:right="0" w:firstLine="0" w:left="0"/>
        <w:jc w:val="center"/>
        <w:rPr/>
      </w:pPr>
      <w:r>
        <w:rPr>
          <w:b/>
          <w:sz w:val="21"/>
          <w:szCs w:val="21"/>
          <w:highlight w:val="none"/>
        </w:rPr>
      </w:r>
      <w:r>
        <w:rPr>
          <w:b/>
          <w:sz w:val="21"/>
          <w:szCs w:val="21"/>
          <w:highlight w:val="none"/>
        </w:rPr>
        <w:t xml:space="preserve">                                                                       </w:t>
      </w:r>
      <w:r>
        <w:rPr>
          <w:b/>
          <w:sz w:val="21"/>
          <w:szCs w:val="21"/>
          <w:highlight w:val="none"/>
        </w:rPr>
      </w:r>
      <w:r/>
    </w:p>
    <w:p>
      <w:pPr>
        <w:pStyle w:val="895"/>
        <w:numPr>
          <w:ilvl w:val="4"/>
          <w:numId w:val="1"/>
        </w:numPr>
        <w:pBdr/>
        <w:spacing/>
        <w:ind w:right="0" w:firstLine="0" w:left="0"/>
        <w:jc w:val="center"/>
        <w:rPr/>
      </w:pPr>
      <w:r>
        <w:rPr>
          <w:b/>
          <w:sz w:val="21"/>
          <w:szCs w:val="21"/>
          <w:highlight w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1"/>
          <w:szCs w:val="21"/>
        </w:rPr>
        <w:t xml:space="preserve">Braniewo, dnia  27 października 2025 r.</w:t>
      </w:r>
      <w:r>
        <w:rPr>
          <w:b/>
          <w:sz w:val="21"/>
          <w:szCs w:val="21"/>
          <w:highlight w:val="none"/>
        </w:rPr>
      </w:r>
      <w:r/>
    </w:p>
    <w:p>
      <w:pPr>
        <w:pStyle w:val="895"/>
        <w:numPr>
          <w:ilvl w:val="4"/>
          <w:numId w:val="1"/>
        </w:numPr>
        <w:pBdr/>
        <w:spacing/>
        <w:ind w:right="0" w:firstLine="0" w:left="0"/>
        <w:jc w:val="center"/>
        <w:rPr/>
      </w:pPr>
      <w:r>
        <w:rPr>
          <w:b/>
          <w:sz w:val="21"/>
          <w:szCs w:val="21"/>
          <w:highlight w:val="none"/>
        </w:rPr>
      </w:r>
      <w:r>
        <w:rPr>
          <w:b/>
          <w:sz w:val="21"/>
          <w:szCs w:val="21"/>
          <w:highlight w:val="none"/>
        </w:rPr>
      </w:r>
      <w:r/>
    </w:p>
    <w:p>
      <w:pPr>
        <w:pStyle w:val="895"/>
        <w:numPr>
          <w:ilvl w:val="4"/>
          <w:numId w:val="1"/>
        </w:numPr>
        <w:pBdr/>
        <w:spacing/>
        <w:ind w:right="0" w:firstLine="0" w:left="0"/>
        <w:jc w:val="center"/>
        <w:rPr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895"/>
        <w:numPr>
          <w:ilvl w:val="4"/>
          <w:numId w:val="1"/>
        </w:numPr>
        <w:pBdr/>
        <w:spacing/>
        <w:ind w:right="0" w:firstLine="0"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W Y K A Z</w:t>
      </w:r>
      <w:r>
        <w:rPr>
          <w:sz w:val="24"/>
          <w:szCs w:val="24"/>
        </w:rPr>
      </w:r>
    </w:p>
    <w:p>
      <w:pPr>
        <w:pStyle w:val="895"/>
        <w:numPr>
          <w:ilvl w:val="4"/>
          <w:numId w:val="1"/>
        </w:numPr>
        <w:pBdr/>
        <w:spacing/>
        <w:ind w:right="0" w:firstLine="0"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NIERUCHOMOŚCI  PRZEZNACZONYCH  DO  SPRZEDAŻY</w:t>
      </w:r>
      <w:r>
        <w:rPr>
          <w:sz w:val="24"/>
          <w:szCs w:val="24"/>
        </w:rPr>
      </w:r>
    </w:p>
    <w:p>
      <w:pPr>
        <w:pStyle w:val="894"/>
        <w:numPr>
          <w:ilvl w:val="1"/>
          <w:numId w:val="1"/>
        </w:numPr>
        <w:pBdr/>
        <w:spacing/>
        <w:ind/>
        <w:jc w:val="center"/>
        <w:rPr>
          <w:sz w:val="21"/>
          <w:szCs w:val="21"/>
        </w:rPr>
      </w:pPr>
      <w:r>
        <w:rPr>
          <w:sz w:val="21"/>
          <w:szCs w:val="21"/>
        </w:rPr>
      </w:r>
      <w:r>
        <w:rPr>
          <w:sz w:val="21"/>
          <w:szCs w:val="21"/>
        </w:rPr>
      </w:r>
      <w:r>
        <w:rPr>
          <w:sz w:val="21"/>
          <w:szCs w:val="21"/>
        </w:rPr>
      </w:r>
    </w:p>
    <w:p>
      <w:pPr>
        <w:pStyle w:val="892"/>
        <w:pBdr/>
        <w:spacing/>
        <w:ind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Wójt Gminy Braniewo działając na podstawie art. 35 ust. 1 i 2 ustawy z dnia 21 sierpnia 1997 r. o gospodarce nieruchomościami </w:t>
      </w:r>
      <w:r>
        <w:rPr>
          <w:rFonts w:ascii="Liberation Serif" w:hAnsi="Liberation Serif" w:cs="Liberation Serif"/>
          <w:i/>
          <w:iCs/>
          <w:sz w:val="22"/>
          <w:szCs w:val="22"/>
        </w:rPr>
        <w:t xml:space="preserve">(t.j. Dz. U. z 2024 r., poz. 1145 ze zm.)</w:t>
      </w:r>
      <w:r>
        <w:rPr>
          <w:rFonts w:ascii="Liberation Serif" w:hAnsi="Liberation Serif" w:cs="Liberation Serif"/>
          <w:sz w:val="22"/>
          <w:szCs w:val="22"/>
        </w:rPr>
        <w:t xml:space="preserve"> podaje</w:t>
      </w:r>
      <w:r>
        <w:rPr>
          <w:rFonts w:ascii="Liberation Serif" w:hAnsi="Liberation Serif" w:cs="Liberation Serif"/>
          <w:b/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2"/>
          <w:szCs w:val="22"/>
        </w:rPr>
        <w:t xml:space="preserve">do publicznej wiadomości wykaz nieruchomości stanowiących mienie komunalne Gminy Braniewo, przeznaczonych do sprzedaży.</w:t>
      </w:r>
      <w:r>
        <w:rPr>
          <w:sz w:val="22"/>
          <w:szCs w:val="22"/>
        </w:rPr>
      </w:r>
    </w:p>
    <w:p>
      <w:pPr>
        <w:pStyle w:val="892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pBdr/>
        <w:spacing/>
        <w:ind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Ind w:w="0" w:type="dxa"/>
        <w:tblW w:w="0" w:type="auto"/>
        <w:tblCellMar>
          <w:left w:w="70" w:type="dxa"/>
          <w:top w:w="0" w:type="dxa"/>
          <w:right w:w="70" w:type="dxa"/>
          <w:bottom w:w="0" w:type="dxa"/>
        </w:tblCellMar>
        <w:tblBorders/>
        <w:tblLayout w:type="fixed"/>
        <w:tblLook w:val="04A0" w:firstRow="1" w:lastRow="0" w:firstColumn="1" w:lastColumn="0" w:noHBand="0" w:noVBand="1"/>
      </w:tblPr>
      <w:tblGrid>
        <w:gridCol w:w="452"/>
        <w:gridCol w:w="1483"/>
        <w:gridCol w:w="1470"/>
        <w:gridCol w:w="1530"/>
        <w:gridCol w:w="735"/>
        <w:gridCol w:w="6180"/>
        <w:gridCol w:w="1185"/>
        <w:gridCol w:w="1425"/>
        <w:gridCol w:w="1287"/>
      </w:tblGrid>
      <w:tr>
        <w:trPr>
          <w:trHeight w:val="14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Lp.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Położenie nieruchomości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Oznaczenie nieruchomości</w:t>
              <w:br w:type="textWrapping" w:clear="all"/>
              <w:t xml:space="preserve">w ewidencji gruntów</w:t>
              <w:br w:type="textWrapping" w:clear="all"/>
              <w:t xml:space="preserve">i budynków </w:t>
            </w:r>
            <w:r/>
          </w:p>
          <w:p>
            <w:pPr>
              <w:pStyle w:val="892"/>
              <w:pBdr/>
              <w:spacing/>
              <w: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Oznaczenie nieruchomości według księgi wieczystej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Pow.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w ha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Opis, przeznaczenie i sposób zagospodarowania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nieruchomości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Obciążenia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Tryb zbycia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Style w:val="893"/>
              <w:numPr>
                <w:ilvl w:val="0"/>
                <w:numId w:val="0"/>
              </w:numPr>
              <w:pBdr/>
              <w:spacing/>
              <w:ind w:right="0" w:firstLine="0" w:left="0"/>
              <w:rPr/>
            </w:pPr>
            <w:r>
              <w:rPr>
                <w:b/>
                <w:bCs/>
                <w:sz w:val="18"/>
                <w:szCs w:val="18"/>
              </w:rPr>
              <w:t xml:space="preserve">Cena wywoławcza</w:t>
            </w:r>
            <w:r/>
          </w:p>
          <w:p>
            <w:pPr>
              <w:pStyle w:val="928"/>
              <w:pBdr/>
              <w:spacing/>
              <w:ind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</w:r>
          </w:p>
        </w:tc>
      </w:tr>
      <w:tr>
        <w:trPr>
          <w:trHeight w:val="143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1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Kiersy,</w:t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gm. Braniewo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dz.  nr  161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obr. Zakrzewiec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sz w:val="18"/>
                <w:szCs w:val="18"/>
              </w:rPr>
              <w:t xml:space="preserve">EL1B/00021059/1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931"/>
              <w:pBdr/>
              <w:spacing w:line="252" w:lineRule="auto"/>
              <w:ind/>
              <w:jc w:val="center"/>
              <w:rPr/>
            </w:pPr>
            <w:r>
              <w:t xml:space="preserve">0,3600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Nieruchomość rolna niezabudowana, zadrzewiona i zakrzaczona, nieużytkowana. Zgodnie za SuiKZP Gminy Braniewo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* nieruchomość położona jest w strefie Lipowiny( strefa 6). Dostęp do drogi publicznej z drogi gminnej. W widencji gruntów i budynków sklasyfikowana jako Lzr-ŁV.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Nie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 występują.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Przetarg 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ustny 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nieograniczony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10 300,00 zł</w:t>
            </w:r>
            <w:r/>
          </w:p>
        </w:tc>
      </w:tr>
      <w:tr>
        <w:trPr>
          <w:trHeight w:val="143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2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</w:rPr>
              <w:t xml:space="preserve">Rudłowo</w:t>
            </w:r>
            <w:r>
              <w:rPr>
                <w:sz w:val="22"/>
                <w:szCs w:val="22"/>
                <w:highlight w:val="none"/>
              </w:rPr>
            </w:r>
          </w:p>
          <w:p>
            <w:pPr>
              <w:pBdr/>
              <w:spacing/>
              <w:ind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none"/>
              </w:rPr>
              <w:t xml:space="preserve">gm. Braniewo</w:t>
            </w: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dz.  nr  249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obr.Bobrowiec</w:t>
            </w:r>
            <w:r/>
          </w:p>
          <w:p>
            <w:pPr>
              <w:pStyle w:val="892"/>
              <w:pBdr/>
              <w:spacing/>
              <w:ind/>
              <w:jc w:val="left"/>
              <w:rPr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EL1B/00015504/1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931"/>
              <w:pBdr/>
              <w:spacing w:line="252" w:lineRule="auto"/>
              <w:ind/>
              <w:jc w:val="center"/>
              <w:rPr/>
            </w:pPr>
            <w:r>
              <w:t xml:space="preserve">0,0534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Udział 1/5 w nieruchomości gruntowej zabudowanej budynkiem gospodarczym o powierzchni zabudowy  22,6 m</w:t>
            </w:r>
            <w:r>
              <w:rPr>
                <w:rFonts w:ascii="Calibri" w:hAnsi="Calibri" w:eastAsia="Times New Roman" w:cs="Calibri"/>
                <w:sz w:val="22"/>
                <w:szCs w:val="22"/>
              </w:rPr>
              <w:t xml:space="preserve">²</w:t>
            </w:r>
            <w:r>
              <w:rPr>
                <w:sz w:val="22"/>
                <w:szCs w:val="22"/>
              </w:rPr>
              <w:t xml:space="preserve"> położony w Rudłowo. W ewidencji gruntów i budynków sklasyfikowana jako B o powierzchni 0,0534 ha.  Zgodnie ze SUiKZP Gminy Braniewo* nieruchomość położona jest w strefie podmiejsko -przygranicznej. </w:t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Nie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 występują.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highlight w:val="none"/>
              </w:rPr>
            </w:pPr>
            <w:r>
              <w:t xml:space="preserve">Sprzedaż</w:t>
            </w:r>
            <w:r>
              <w:rPr>
                <w:highlight w:val="none"/>
              </w:rPr>
            </w:r>
          </w:p>
          <w:p>
            <w:pPr>
              <w:pBdr/>
              <w:spacing/>
              <w:ind/>
              <w:jc w:val="center"/>
              <w:rPr/>
            </w:pPr>
            <w:r>
              <w:rPr>
                <w:highlight w:val="none"/>
              </w:rPr>
              <w:t xml:space="preserve">bezprzetargowo</w:t>
            </w:r>
            <w:r>
              <w:rPr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3 240,00 zł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143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3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</w:rPr>
              <w:t xml:space="preserve">Gronówko</w:t>
            </w:r>
            <w:r>
              <w:rPr>
                <w:sz w:val="22"/>
                <w:szCs w:val="22"/>
                <w:highlight w:val="none"/>
              </w:rPr>
            </w:r>
          </w:p>
          <w:p>
            <w:pPr>
              <w:pBdr/>
              <w:spacing/>
              <w:ind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none"/>
              </w:rPr>
              <w:t xml:space="preserve">gm. Braniewo</w:t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dz.  nr  20/42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obr. Wola Lipowska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EL1B/00023515/0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892"/>
              <w:pBdr/>
              <w:spacing/>
              <w:ind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931"/>
              <w:pBdr/>
              <w:spacing w:line="252" w:lineRule="auto"/>
              <w:ind/>
              <w:jc w:val="center"/>
              <w:rPr/>
            </w:pPr>
            <w:r>
              <w:t xml:space="preserve">0,4016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Udział 1373/4016 w nieruchomości rolnej niezabudowanej, Działka użytkowana jako ogródek przydomowy. Zgodnie za SuiKZP Gminy Braniewo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* nieruchomość położona jest w strefie Lipowiny. Dostęp do drogi publicznej z drogi gminnej. W ewidencji gruntów i budynków sklasyfikowana jako Br-RIII b- 0,3211 ha, R III b- 0,0805 ha..</w:t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Nie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 występują.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Przetarg 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ustny 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nieograniczony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9 400,00 zł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143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4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</w:rPr>
              <w:t xml:space="preserve">Gronowo</w:t>
            </w: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  <w:highlight w:val="none"/>
              </w:rPr>
            </w:r>
          </w:p>
          <w:p>
            <w:pPr>
              <w:pBdr/>
              <w:spacing/>
              <w:ind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none"/>
              </w:rPr>
              <w:t xml:space="preserve">gm. Braniewo</w:t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dz.  nr  88/2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obr. Gronowo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EL1B/00000977/9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892"/>
              <w:pBdr/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931"/>
              <w:pBdr/>
              <w:spacing w:line="252" w:lineRule="auto"/>
              <w:ind/>
              <w:jc w:val="center"/>
              <w:rPr/>
            </w:pPr>
            <w:r>
              <w:t xml:space="preserve">0,2743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Udział 45/100 w nieruchomości gruntowej zabudowanej budynkiem mieszkalnym, Działka  ma kształt nieregularny. Zgodnie za SuiKZP Gminy Braniewo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* nieruchomość położona jest w strefie podmiejsko-przygranicznej. Dostęp do drogi publicznej z drogi gminnej. W ewidencji gruntów i budynków sklasyfikowana jako Br-Ps IV- 0,1006 ha, N - 0,1018 ha, PsIV - 0,0440 ha oraz W-PsIV- 0,0279 ha.</w:t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Nie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 występują.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Przetarg 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ustny 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>
              <w:t xml:space="preserve">nieograniczony</w:t>
            </w:r>
            <w:r/>
          </w:p>
          <w:p>
            <w:pPr>
              <w:pStyle w:val="892"/>
              <w:pBdr/>
              <w:spacing/>
              <w:ind/>
              <w:jc w:val="center"/>
              <w:rPr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92"/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71 100,00 zł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930"/>
        <w:pBdr/>
        <w:spacing w:after="0" w:before="0" w:line="100" w:lineRule="atLeast"/>
        <w:ind w:right="0" w:hanging="15"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    - uchwała rady Gminy Braniewo z dnia 21grudnia 2021 r., Nr 132/VIII/2021</w:t>
      </w:r>
      <w:r>
        <w:rPr>
          <w:sz w:val="22"/>
          <w:szCs w:val="22"/>
        </w:rPr>
      </w:r>
    </w:p>
    <w:p>
      <w:pPr>
        <w:pStyle w:val="892"/>
        <w:pBdr/>
        <w:spacing w:after="0" w:before="0"/>
        <w:ind w:right="0" w:firstLine="0" w:left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Do ceny sprzedaży zostaną doliczone koszty przygotowania nieruchomości do sprzedaży.</w:t>
      </w:r>
      <w:r>
        <w:rPr>
          <w:sz w:val="22"/>
          <w:szCs w:val="22"/>
        </w:rPr>
      </w:r>
    </w:p>
    <w:p>
      <w:pPr>
        <w:pStyle w:val="929"/>
        <w:pBdr/>
        <w:spacing/>
        <w:ind w:right="0" w:firstLine="0" w:left="0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29"/>
        <w:pBdr/>
        <w:spacing/>
        <w:ind w:right="0" w:firstLine="0"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Osoby, którym przysługuje pierwszeństwo w nabyciu nieruchomości na podstawie art. 34 ust. 1 pkt. 1 i 2 ustawy z dnia 21 sierpnia 1997 r. o gospodarce nieruchomościami</w:t>
        <w:br w:type="textWrapping" w:clear="all"/>
      </w:r>
      <w:r>
        <w:rPr>
          <w:i/>
          <w:iCs/>
          <w:sz w:val="22"/>
          <w:szCs w:val="22"/>
        </w:rPr>
        <w:t xml:space="preserve">(t.j. Dz. U. z 2024 r., poz. 1145  ze zm.)</w:t>
      </w:r>
      <w:r>
        <w:rPr>
          <w:sz w:val="22"/>
          <w:szCs w:val="22"/>
        </w:rPr>
        <w:t xml:space="preserve"> winny złożyć wniosek o jej nabycie w terminie 6 tygodni od daty podania wykazu do publicznej wiadomości.</w:t>
      </w:r>
      <w:r>
        <w:rPr>
          <w:sz w:val="22"/>
          <w:szCs w:val="22"/>
        </w:rPr>
      </w:r>
    </w:p>
    <w:p>
      <w:pPr>
        <w:pStyle w:val="929"/>
        <w:pBdr/>
        <w:spacing w:after="0" w:before="0"/>
        <w:ind w:right="0" w:firstLine="0"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Wykaz podaje się do publicznej wiadomości na okres 21 dni poprzez wywieszenie na tablicy ogłoszeń Urzędu Gminy Braniewo, na stronie internetowej Gminy Braniewo,</w:t>
        <w:br w:type="textWrapping" w:clear="all"/>
        <w:t xml:space="preserve">pod adresem: 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"http://www.gminabraniewo.pl/"</w:instrText>
      </w:r>
      <w:r>
        <w:rPr>
          <w:sz w:val="22"/>
          <w:szCs w:val="22"/>
        </w:rPr>
        <w:fldChar w:fldCharType="separate"/>
      </w:r>
      <w:r>
        <w:rPr>
          <w:rStyle w:val="908"/>
          <w:sz w:val="22"/>
          <w:szCs w:val="22"/>
          <w:u w:val="none"/>
        </w:rPr>
        <w:t xml:space="preserve">http://www.gminabraniewo.pl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oraz w Biuletynie Informacji Publicznej Gminy Braniewo, pod adresem: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"https://bipbraniewo.warmia.mazury.pl/"</w:instrText>
      </w:r>
      <w:r>
        <w:rPr>
          <w:sz w:val="22"/>
          <w:szCs w:val="22"/>
        </w:rPr>
        <w:fldChar w:fldCharType="separate"/>
      </w:r>
      <w:r>
        <w:rPr>
          <w:rStyle w:val="908"/>
          <w:sz w:val="22"/>
          <w:szCs w:val="22"/>
          <w:u w:val="none"/>
          <w:lang w:val="pl-PL" w:eastAsia="ar-SA" w:bidi="ar-SA"/>
        </w:rPr>
        <w:t xml:space="preserve">https://bipbraniewo.warmia.mazury.pl/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</w:p>
    <w:p>
      <w:pPr>
        <w:pStyle w:val="929"/>
        <w:pBdr/>
        <w:spacing w:after="0" w:before="0"/>
        <w:ind w:right="0" w:firstLine="0"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Informację o zamieszczeniu wykazu podaje się do publicznej wiadomości w prasie lokalnej.</w:t>
      </w:r>
      <w:r>
        <w:rPr>
          <w:sz w:val="22"/>
          <w:szCs w:val="22"/>
        </w:rPr>
      </w:r>
    </w:p>
    <w:p>
      <w:pPr>
        <w:pStyle w:val="892"/>
        <w:pBdr/>
        <w:spacing w:after="0" w:before="0"/>
        <w:ind w:right="0" w:hanging="15" w:left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Informacje: Gmina Braniewo – Renata Kozińska, tel. 55-644-0300, e-mail: administracja@gminabraniewo.pl.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sectPr>
      <w:footnotePr>
        <w:numFmt w:val="decimal"/>
        <w:numRestart w:val="continuous"/>
      </w:footnotePr>
      <w:endnotePr>
        <w:numFmt w:val="lowerRoman"/>
      </w:endnotePr>
      <w:type w:val="nextPage"/>
      <w:pgSz w:h="23811" w:orient="portrait" w:w="16838"/>
      <w:pgMar w:top="360" w:right="820" w:bottom="719" w:left="480" w:header="709" w:footer="709" w:gutter="0"/>
      <w:pgNumType w:fmt="none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iberation Sans">
    <w:panose1 w:val="020B0604020202020204"/>
  </w:font>
  <w:font w:name="Liberation Serif">
    <w:panose1 w:val="02020603050405020304"/>
  </w:font>
  <w:font w:name="Mangal">
    <w:panose1 w:val="02040503050406030204"/>
  </w:font>
  <w:font w:name="OpenSymbol">
    <w:panose1 w:val="05010000000000000000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893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894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720" w:left="720"/>
      </w:pPr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864" w:left="864"/>
      </w:pPr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895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152" w:left="1152"/>
      </w:pPr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296" w:left="1296"/>
      </w:pPr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440" w:left="1440"/>
      </w:pPr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584" w:left="1584"/>
      </w:pPr>
      <w:rPr/>
      <w:start w:val="1"/>
      <w:suff w:val="nothing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3">
    <w:name w:val="Table Grid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Table Grid Light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1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2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1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2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3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4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5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6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1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2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3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4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5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6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1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2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3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4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5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6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9">
    <w:name w:val="Heading 1"/>
    <w:basedOn w:val="892"/>
    <w:next w:val="892"/>
    <w:link w:val="84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0">
    <w:name w:val="Heading 2"/>
    <w:basedOn w:val="892"/>
    <w:next w:val="892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1">
    <w:name w:val="Heading 3"/>
    <w:basedOn w:val="892"/>
    <w:next w:val="892"/>
    <w:link w:val="84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2">
    <w:name w:val="Heading 4"/>
    <w:basedOn w:val="892"/>
    <w:next w:val="892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3">
    <w:name w:val="Heading 5"/>
    <w:basedOn w:val="892"/>
    <w:next w:val="892"/>
    <w:link w:val="84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4">
    <w:name w:val="Heading 6"/>
    <w:basedOn w:val="892"/>
    <w:next w:val="892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5">
    <w:name w:val="Heading 7"/>
    <w:basedOn w:val="892"/>
    <w:next w:val="892"/>
    <w:link w:val="84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6">
    <w:name w:val="Heading 8"/>
    <w:basedOn w:val="892"/>
    <w:next w:val="892"/>
    <w:link w:val="84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7">
    <w:name w:val="Heading 9"/>
    <w:basedOn w:val="892"/>
    <w:next w:val="892"/>
    <w:link w:val="84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8" w:default="1">
    <w:name w:val="Default Paragraph Font"/>
    <w:uiPriority w:val="1"/>
    <w:semiHidden/>
    <w:unhideWhenUsed/>
    <w:pPr>
      <w:pBdr/>
      <w:spacing/>
      <w:ind/>
    </w:pPr>
  </w:style>
  <w:style w:type="numbering" w:styleId="839" w:default="1">
    <w:name w:val="No List"/>
    <w:uiPriority w:val="99"/>
    <w:semiHidden/>
    <w:unhideWhenUsed/>
    <w:pPr>
      <w:pBdr/>
      <w:spacing/>
      <w:ind/>
    </w:pPr>
  </w:style>
  <w:style w:type="character" w:styleId="840">
    <w:name w:val="Heading 1 Char"/>
    <w:basedOn w:val="838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1">
    <w:name w:val="Heading 2 Char"/>
    <w:basedOn w:val="838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2">
    <w:name w:val="Heading 3 Char"/>
    <w:basedOn w:val="838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3">
    <w:name w:val="Heading 4 Char"/>
    <w:basedOn w:val="838"/>
    <w:link w:val="83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4">
    <w:name w:val="Heading 5 Char"/>
    <w:basedOn w:val="838"/>
    <w:link w:val="8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5">
    <w:name w:val="Heading 6 Char"/>
    <w:basedOn w:val="838"/>
    <w:link w:val="83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6">
    <w:name w:val="Heading 7 Char"/>
    <w:basedOn w:val="838"/>
    <w:link w:val="83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7">
    <w:name w:val="Heading 8 Char"/>
    <w:basedOn w:val="838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8">
    <w:name w:val="Heading 9 Char"/>
    <w:basedOn w:val="838"/>
    <w:link w:val="8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9">
    <w:name w:val="Title"/>
    <w:basedOn w:val="892"/>
    <w:next w:val="892"/>
    <w:link w:val="85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0">
    <w:name w:val="Title Char"/>
    <w:basedOn w:val="838"/>
    <w:link w:val="84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1">
    <w:name w:val="Subtitle"/>
    <w:basedOn w:val="892"/>
    <w:next w:val="892"/>
    <w:link w:val="85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2">
    <w:name w:val="Subtitle Char"/>
    <w:basedOn w:val="838"/>
    <w:link w:val="85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3">
    <w:name w:val="Quote"/>
    <w:basedOn w:val="892"/>
    <w:next w:val="892"/>
    <w:link w:val="85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4">
    <w:name w:val="Quote Char"/>
    <w:basedOn w:val="838"/>
    <w:link w:val="85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5">
    <w:name w:val="List Paragraph"/>
    <w:basedOn w:val="892"/>
    <w:uiPriority w:val="34"/>
    <w:qFormat/>
    <w:pPr>
      <w:pBdr/>
      <w:spacing/>
      <w:ind w:left="720"/>
      <w:contextualSpacing w:val="true"/>
    </w:pPr>
  </w:style>
  <w:style w:type="character" w:styleId="856">
    <w:name w:val="Intense Emphasis"/>
    <w:basedOn w:val="83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7">
    <w:name w:val="Intense Quote"/>
    <w:basedOn w:val="892"/>
    <w:next w:val="892"/>
    <w:link w:val="85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8">
    <w:name w:val="Intense Quote Char"/>
    <w:basedOn w:val="838"/>
    <w:link w:val="85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9">
    <w:name w:val="Intense Reference"/>
    <w:basedOn w:val="83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60">
    <w:name w:val="No Spacing"/>
    <w:basedOn w:val="892"/>
    <w:uiPriority w:val="1"/>
    <w:qFormat/>
    <w:pPr>
      <w:pBdr/>
      <w:spacing w:after="0" w:line="240" w:lineRule="auto"/>
      <w:ind/>
    </w:pPr>
  </w:style>
  <w:style w:type="character" w:styleId="861">
    <w:name w:val="Subtle Emphasis"/>
    <w:basedOn w:val="83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2">
    <w:name w:val="Emphasis"/>
    <w:basedOn w:val="838"/>
    <w:uiPriority w:val="20"/>
    <w:qFormat/>
    <w:pPr>
      <w:pBdr/>
      <w:spacing/>
      <w:ind/>
    </w:pPr>
    <w:rPr>
      <w:i/>
      <w:iCs/>
    </w:rPr>
  </w:style>
  <w:style w:type="character" w:styleId="863">
    <w:name w:val="Strong"/>
    <w:basedOn w:val="838"/>
    <w:uiPriority w:val="22"/>
    <w:qFormat/>
    <w:pPr>
      <w:pBdr/>
      <w:spacing/>
      <w:ind/>
    </w:pPr>
    <w:rPr>
      <w:b/>
      <w:bCs/>
    </w:rPr>
  </w:style>
  <w:style w:type="character" w:styleId="864">
    <w:name w:val="Subtle Reference"/>
    <w:basedOn w:val="83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5">
    <w:name w:val="Book Title"/>
    <w:basedOn w:val="83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6">
    <w:name w:val="Header"/>
    <w:basedOn w:val="892"/>
    <w:link w:val="86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7">
    <w:name w:val="Header Char"/>
    <w:basedOn w:val="838"/>
    <w:link w:val="866"/>
    <w:uiPriority w:val="99"/>
    <w:pPr>
      <w:pBdr/>
      <w:spacing/>
      <w:ind/>
    </w:pPr>
  </w:style>
  <w:style w:type="paragraph" w:styleId="868">
    <w:name w:val="Footer"/>
    <w:basedOn w:val="892"/>
    <w:link w:val="86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9">
    <w:name w:val="Footer Char"/>
    <w:basedOn w:val="838"/>
    <w:link w:val="868"/>
    <w:uiPriority w:val="99"/>
    <w:pPr>
      <w:pBdr/>
      <w:spacing/>
      <w:ind/>
    </w:pPr>
  </w:style>
  <w:style w:type="paragraph" w:styleId="870">
    <w:name w:val="Caption"/>
    <w:basedOn w:val="892"/>
    <w:next w:val="89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1">
    <w:name w:val="footnote text"/>
    <w:basedOn w:val="892"/>
    <w:link w:val="8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2">
    <w:name w:val="Footnote Text Char"/>
    <w:basedOn w:val="838"/>
    <w:link w:val="871"/>
    <w:uiPriority w:val="99"/>
    <w:semiHidden/>
    <w:pPr>
      <w:pBdr/>
      <w:spacing/>
      <w:ind/>
    </w:pPr>
    <w:rPr>
      <w:sz w:val="20"/>
      <w:szCs w:val="20"/>
    </w:rPr>
  </w:style>
  <w:style w:type="character" w:styleId="873">
    <w:name w:val="footnote reference"/>
    <w:basedOn w:val="838"/>
    <w:uiPriority w:val="99"/>
    <w:semiHidden/>
    <w:unhideWhenUsed/>
    <w:pPr>
      <w:pBdr/>
      <w:spacing/>
      <w:ind/>
    </w:pPr>
    <w:rPr>
      <w:vertAlign w:val="superscript"/>
    </w:rPr>
  </w:style>
  <w:style w:type="paragraph" w:styleId="874">
    <w:name w:val="endnote text"/>
    <w:basedOn w:val="892"/>
    <w:link w:val="8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5">
    <w:name w:val="Endnote Text Char"/>
    <w:basedOn w:val="838"/>
    <w:link w:val="874"/>
    <w:uiPriority w:val="99"/>
    <w:semiHidden/>
    <w:pPr>
      <w:pBdr/>
      <w:spacing/>
      <w:ind/>
    </w:pPr>
    <w:rPr>
      <w:sz w:val="20"/>
      <w:szCs w:val="20"/>
    </w:rPr>
  </w:style>
  <w:style w:type="character" w:styleId="876">
    <w:name w:val="endnote reference"/>
    <w:basedOn w:val="838"/>
    <w:uiPriority w:val="99"/>
    <w:semiHidden/>
    <w:unhideWhenUsed/>
    <w:pPr>
      <w:pBdr/>
      <w:spacing/>
      <w:ind/>
    </w:pPr>
    <w:rPr>
      <w:vertAlign w:val="superscript"/>
    </w:rPr>
  </w:style>
  <w:style w:type="character" w:styleId="877">
    <w:name w:val="Hyperlink"/>
    <w:basedOn w:val="83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8">
    <w:name w:val="FollowedHyperlink"/>
    <w:basedOn w:val="83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9">
    <w:name w:val="toc 1"/>
    <w:basedOn w:val="892"/>
    <w:next w:val="892"/>
    <w:uiPriority w:val="39"/>
    <w:unhideWhenUsed/>
    <w:pPr>
      <w:pBdr/>
      <w:spacing w:after="100"/>
      <w:ind/>
    </w:pPr>
  </w:style>
  <w:style w:type="paragraph" w:styleId="880">
    <w:name w:val="toc 2"/>
    <w:basedOn w:val="892"/>
    <w:next w:val="892"/>
    <w:uiPriority w:val="39"/>
    <w:unhideWhenUsed/>
    <w:pPr>
      <w:pBdr/>
      <w:spacing w:after="100"/>
      <w:ind w:left="220"/>
    </w:pPr>
  </w:style>
  <w:style w:type="paragraph" w:styleId="881">
    <w:name w:val="toc 3"/>
    <w:basedOn w:val="892"/>
    <w:next w:val="892"/>
    <w:uiPriority w:val="39"/>
    <w:unhideWhenUsed/>
    <w:pPr>
      <w:pBdr/>
      <w:spacing w:after="100"/>
      <w:ind w:left="440"/>
    </w:pPr>
  </w:style>
  <w:style w:type="paragraph" w:styleId="882">
    <w:name w:val="toc 4"/>
    <w:basedOn w:val="892"/>
    <w:next w:val="892"/>
    <w:uiPriority w:val="39"/>
    <w:unhideWhenUsed/>
    <w:pPr>
      <w:pBdr/>
      <w:spacing w:after="100"/>
      <w:ind w:left="660"/>
    </w:pPr>
  </w:style>
  <w:style w:type="paragraph" w:styleId="883">
    <w:name w:val="toc 5"/>
    <w:basedOn w:val="892"/>
    <w:next w:val="892"/>
    <w:uiPriority w:val="39"/>
    <w:unhideWhenUsed/>
    <w:pPr>
      <w:pBdr/>
      <w:spacing w:after="100"/>
      <w:ind w:left="880"/>
    </w:pPr>
  </w:style>
  <w:style w:type="paragraph" w:styleId="884">
    <w:name w:val="toc 6"/>
    <w:basedOn w:val="892"/>
    <w:next w:val="892"/>
    <w:uiPriority w:val="39"/>
    <w:unhideWhenUsed/>
    <w:pPr>
      <w:pBdr/>
      <w:spacing w:after="100"/>
      <w:ind w:left="1100"/>
    </w:pPr>
  </w:style>
  <w:style w:type="paragraph" w:styleId="885">
    <w:name w:val="toc 7"/>
    <w:basedOn w:val="892"/>
    <w:next w:val="892"/>
    <w:uiPriority w:val="39"/>
    <w:unhideWhenUsed/>
    <w:pPr>
      <w:pBdr/>
      <w:spacing w:after="100"/>
      <w:ind w:left="1320"/>
    </w:pPr>
  </w:style>
  <w:style w:type="paragraph" w:styleId="886">
    <w:name w:val="toc 8"/>
    <w:basedOn w:val="892"/>
    <w:next w:val="892"/>
    <w:uiPriority w:val="39"/>
    <w:unhideWhenUsed/>
    <w:pPr>
      <w:pBdr/>
      <w:spacing w:after="100"/>
      <w:ind w:left="1540"/>
    </w:pPr>
  </w:style>
  <w:style w:type="paragraph" w:styleId="887">
    <w:name w:val="toc 9"/>
    <w:basedOn w:val="892"/>
    <w:next w:val="892"/>
    <w:uiPriority w:val="39"/>
    <w:unhideWhenUsed/>
    <w:pPr>
      <w:pBdr/>
      <w:spacing w:after="100"/>
      <w:ind w:left="1760"/>
    </w:pPr>
  </w:style>
  <w:style w:type="character" w:styleId="888">
    <w:name w:val="Placeholder Text"/>
    <w:basedOn w:val="838"/>
    <w:uiPriority w:val="99"/>
    <w:semiHidden/>
    <w:pPr>
      <w:pBdr/>
      <w:spacing/>
      <w:ind/>
    </w:pPr>
    <w:rPr>
      <w:color w:val="666666"/>
    </w:rPr>
  </w:style>
  <w:style w:type="paragraph" w:styleId="889">
    <w:name w:val="TOC Heading"/>
    <w:uiPriority w:val="39"/>
    <w:unhideWhenUsed/>
    <w:pPr>
      <w:pBdr/>
      <w:spacing/>
      <w:ind/>
    </w:pPr>
  </w:style>
  <w:style w:type="paragraph" w:styleId="890">
    <w:name w:val="table of figures"/>
    <w:basedOn w:val="892"/>
    <w:next w:val="892"/>
    <w:uiPriority w:val="99"/>
    <w:unhideWhenUsed/>
    <w:pPr>
      <w:pBdr/>
      <w:spacing w:after="0" w:afterAutospacing="0"/>
      <w:ind/>
    </w:pPr>
  </w:style>
  <w:style w:type="table" w:styleId="891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2" w:default="1">
    <w:name w:val="Normal"/>
    <w:next w:val="892"/>
    <w:link w:val="892"/>
    <w:pPr>
      <w:widowControl w:val="true"/>
      <w:pBdr/>
      <w:bidi w:val="false"/>
      <w:spacing/>
      <w:ind/>
    </w:pPr>
    <w:rPr>
      <w:rFonts w:ascii="Times New Roman" w:hAnsi="Times New Roman" w:eastAsia="Times New Roman" w:cs="Times New Roman"/>
      <w:color w:val="auto"/>
      <w:sz w:val="20"/>
      <w:szCs w:val="20"/>
      <w:lang w:val="pl-PL" w:eastAsia="zh-CN" w:bidi="ar-SA"/>
    </w:rPr>
  </w:style>
  <w:style w:type="paragraph" w:styleId="893">
    <w:name w:val="Nagłówek 1"/>
    <w:basedOn w:val="892"/>
    <w:next w:val="892"/>
    <w:link w:val="892"/>
    <w:pPr>
      <w:keepNext w:val="true"/>
      <w:numPr>
        <w:ilvl w:val="0"/>
        <w:numId w:val="1"/>
      </w:numPr>
      <w:pBdr/>
      <w:spacing/>
      <w:ind/>
      <w:jc w:val="center"/>
      <w:outlineLvl w:val="0"/>
    </w:pPr>
    <w:rPr>
      <w:sz w:val="24"/>
    </w:rPr>
  </w:style>
  <w:style w:type="paragraph" w:styleId="894">
    <w:name w:val="Nagłówek 2"/>
    <w:basedOn w:val="892"/>
    <w:next w:val="892"/>
    <w:link w:val="892"/>
    <w:pPr>
      <w:keepNext w:val="true"/>
      <w:numPr>
        <w:ilvl w:val="1"/>
        <w:numId w:val="1"/>
      </w:numPr>
      <w:pBdr/>
      <w:spacing/>
      <w:ind/>
      <w:outlineLvl w:val="1"/>
    </w:pPr>
    <w:rPr>
      <w:sz w:val="24"/>
    </w:rPr>
  </w:style>
  <w:style w:type="paragraph" w:styleId="895">
    <w:name w:val="Nagłówek 5"/>
    <w:basedOn w:val="892"/>
    <w:next w:val="892"/>
    <w:link w:val="892"/>
    <w:pPr>
      <w:keepNext w:val="true"/>
      <w:numPr>
        <w:ilvl w:val="4"/>
        <w:numId w:val="1"/>
      </w:numPr>
      <w:pBdr/>
      <w:spacing/>
      <w:ind w:right="0" w:firstLine="7513" w:left="0"/>
      <w:outlineLvl w:val="4"/>
    </w:pPr>
    <w:rPr>
      <w:sz w:val="24"/>
    </w:rPr>
  </w:style>
  <w:style w:type="character" w:styleId="896">
    <w:name w:val="Domyślna czcionka akapitu"/>
    <w:next w:val="896"/>
    <w:link w:val="892"/>
    <w:pPr>
      <w:pBdr/>
      <w:spacing/>
      <w:ind/>
    </w:pPr>
  </w:style>
  <w:style w:type="character" w:styleId="897">
    <w:name w:val="WW8Num1z0"/>
    <w:next w:val="897"/>
    <w:link w:val="892"/>
    <w:pPr>
      <w:pBdr/>
      <w:spacing/>
      <w:ind/>
    </w:pPr>
  </w:style>
  <w:style w:type="character" w:styleId="898">
    <w:name w:val="WW8Num1z1"/>
    <w:next w:val="898"/>
    <w:link w:val="892"/>
    <w:pPr>
      <w:pBdr/>
      <w:spacing/>
      <w:ind/>
    </w:pPr>
  </w:style>
  <w:style w:type="character" w:styleId="899">
    <w:name w:val="WW8Num1z2"/>
    <w:next w:val="899"/>
    <w:link w:val="892"/>
    <w:pPr>
      <w:pBdr/>
      <w:spacing/>
      <w:ind/>
    </w:pPr>
  </w:style>
  <w:style w:type="character" w:styleId="900">
    <w:name w:val="WW8Num1z3"/>
    <w:next w:val="900"/>
    <w:link w:val="892"/>
    <w:pPr>
      <w:pBdr/>
      <w:spacing/>
      <w:ind/>
    </w:pPr>
  </w:style>
  <w:style w:type="character" w:styleId="901">
    <w:name w:val="WW8Num1z4"/>
    <w:next w:val="901"/>
    <w:link w:val="892"/>
    <w:pPr>
      <w:pBdr/>
      <w:spacing/>
      <w:ind/>
    </w:pPr>
  </w:style>
  <w:style w:type="character" w:styleId="902">
    <w:name w:val="WW8Num1z5"/>
    <w:next w:val="902"/>
    <w:link w:val="892"/>
    <w:pPr>
      <w:pBdr/>
      <w:spacing/>
      <w:ind/>
    </w:pPr>
  </w:style>
  <w:style w:type="character" w:styleId="903">
    <w:name w:val="WW8Num1z6"/>
    <w:next w:val="903"/>
    <w:link w:val="892"/>
    <w:pPr>
      <w:pBdr/>
      <w:spacing/>
      <w:ind/>
    </w:pPr>
  </w:style>
  <w:style w:type="character" w:styleId="904">
    <w:name w:val="WW8Num1z7"/>
    <w:next w:val="904"/>
    <w:link w:val="892"/>
    <w:pPr>
      <w:pBdr/>
      <w:spacing/>
      <w:ind/>
    </w:pPr>
  </w:style>
  <w:style w:type="character" w:styleId="905">
    <w:name w:val="WW8Num1z8"/>
    <w:next w:val="905"/>
    <w:link w:val="892"/>
    <w:pPr>
      <w:pBdr/>
      <w:spacing/>
      <w:ind/>
    </w:pPr>
  </w:style>
  <w:style w:type="character" w:styleId="906">
    <w:name w:val="Domyślna czcionka akapitu1"/>
    <w:next w:val="906"/>
    <w:link w:val="892"/>
    <w:pPr>
      <w:pBdr/>
      <w:spacing/>
      <w:ind/>
    </w:pPr>
  </w:style>
  <w:style w:type="character" w:styleId="907">
    <w:name w:val="Symbole wypunktowania"/>
    <w:next w:val="907"/>
    <w:link w:val="892"/>
    <w:pPr>
      <w:pBdr/>
      <w:spacing/>
      <w:ind/>
    </w:pPr>
    <w:rPr>
      <w:rFonts w:ascii="OpenSymbol" w:hAnsi="OpenSymbol" w:eastAsia="OpenSymbol" w:cs="OpenSymbol"/>
    </w:rPr>
  </w:style>
  <w:style w:type="character" w:styleId="908">
    <w:name w:val="Łącze internetowe"/>
    <w:next w:val="908"/>
    <w:link w:val="892"/>
    <w:pPr>
      <w:pBdr/>
      <w:spacing/>
      <w:ind/>
    </w:pPr>
    <w:rPr>
      <w:color w:val="000080"/>
      <w:u w:val="single"/>
      <w:lang w:val="en-US" w:bidi="en-US"/>
    </w:rPr>
  </w:style>
  <w:style w:type="character" w:styleId="909">
    <w:name w:val="Nierozpoznana wzmianka"/>
    <w:next w:val="909"/>
    <w:link w:val="892"/>
    <w:pPr>
      <w:pBdr/>
      <w:spacing/>
      <w:ind/>
    </w:pPr>
    <w:rPr>
      <w:color w:val="605e5c"/>
      <w:shd w:val="clear" w:color="auto" w:fill="e1dfdd"/>
    </w:rPr>
  </w:style>
  <w:style w:type="character" w:styleId="910">
    <w:name w:val="Nagłówek 1 Znak"/>
    <w:next w:val="910"/>
    <w:link w:val="892"/>
    <w:pPr>
      <w:pBdr/>
      <w:spacing/>
      <w:ind/>
    </w:pPr>
    <w:rPr>
      <w:sz w:val="24"/>
    </w:rPr>
  </w:style>
  <w:style w:type="character" w:styleId="911">
    <w:name w:val="Domyślna czcionka akapitu2"/>
    <w:next w:val="911"/>
    <w:link w:val="892"/>
    <w:pPr>
      <w:pBdr/>
      <w:spacing/>
      <w:ind/>
    </w:pPr>
  </w:style>
  <w:style w:type="character" w:styleId="912">
    <w:name w:val="ListLabel 1"/>
    <w:next w:val="912"/>
    <w:link w:val="892"/>
    <w:pPr>
      <w:pBdr/>
      <w:spacing/>
      <w:ind/>
    </w:pPr>
    <w:rPr>
      <w:rFonts w:ascii="Liberation Serif" w:hAnsi="Liberation Serif" w:cs="Liberation Serif"/>
      <w:sz w:val="21"/>
    </w:rPr>
  </w:style>
  <w:style w:type="character" w:styleId="913">
    <w:name w:val="ListLabel 2"/>
    <w:next w:val="913"/>
    <w:link w:val="892"/>
    <w:pPr>
      <w:pBdr/>
      <w:spacing/>
      <w:ind/>
    </w:pPr>
  </w:style>
  <w:style w:type="character" w:styleId="914">
    <w:name w:val="ListLabel 3"/>
    <w:next w:val="914"/>
    <w:link w:val="892"/>
    <w:pPr>
      <w:pBdr/>
      <w:spacing/>
      <w:ind/>
    </w:pPr>
  </w:style>
  <w:style w:type="character" w:styleId="915">
    <w:name w:val="ListLabel 4"/>
    <w:next w:val="915"/>
    <w:link w:val="892"/>
    <w:pPr>
      <w:pBdr/>
      <w:spacing/>
      <w:ind/>
    </w:pPr>
  </w:style>
  <w:style w:type="character" w:styleId="916">
    <w:name w:val="ListLabel 5"/>
    <w:next w:val="916"/>
    <w:link w:val="892"/>
    <w:pPr>
      <w:pBdr/>
      <w:spacing/>
      <w:ind/>
    </w:pPr>
  </w:style>
  <w:style w:type="character" w:styleId="917">
    <w:name w:val="ListLabel 6"/>
    <w:next w:val="917"/>
    <w:link w:val="892"/>
    <w:pPr>
      <w:pBdr/>
      <w:spacing/>
      <w:ind/>
    </w:pPr>
  </w:style>
  <w:style w:type="character" w:styleId="918">
    <w:name w:val="ListLabel 7"/>
    <w:next w:val="918"/>
    <w:link w:val="892"/>
    <w:pPr>
      <w:pBdr/>
      <w:spacing/>
      <w:ind/>
    </w:pPr>
  </w:style>
  <w:style w:type="character" w:styleId="919">
    <w:name w:val="ListLabel 8"/>
    <w:next w:val="919"/>
    <w:link w:val="892"/>
    <w:pPr>
      <w:pBdr/>
      <w:spacing/>
      <w:ind/>
    </w:pPr>
  </w:style>
  <w:style w:type="character" w:styleId="920">
    <w:name w:val="ListLabel 9"/>
    <w:next w:val="920"/>
    <w:link w:val="892"/>
    <w:pPr>
      <w:pBdr/>
      <w:spacing/>
      <w:ind/>
    </w:pPr>
  </w:style>
  <w:style w:type="paragraph" w:styleId="921">
    <w:name w:val="Nagłówek"/>
    <w:basedOn w:val="892"/>
    <w:next w:val="922"/>
    <w:link w:val="892"/>
    <w:pPr>
      <w:keepNext w:val="true"/>
      <w:pBdr/>
      <w:spacing w:after="120" w:before="240"/>
      <w:ind/>
    </w:pPr>
    <w:rPr>
      <w:rFonts w:ascii="Liberation Sans" w:hAnsi="Liberation Sans" w:eastAsia="Microsoft YaHei" w:cs="Arial"/>
      <w:sz w:val="28"/>
      <w:szCs w:val="28"/>
    </w:rPr>
  </w:style>
  <w:style w:type="paragraph" w:styleId="922">
    <w:name w:val="Treść tekstu"/>
    <w:basedOn w:val="892"/>
    <w:next w:val="922"/>
    <w:link w:val="892"/>
    <w:pPr>
      <w:pBdr/>
      <w:spacing/>
      <w:ind/>
    </w:pPr>
    <w:rPr>
      <w:b/>
      <w:sz w:val="24"/>
    </w:rPr>
  </w:style>
  <w:style w:type="paragraph" w:styleId="923">
    <w:name w:val="Lista"/>
    <w:basedOn w:val="922"/>
    <w:next w:val="923"/>
    <w:link w:val="892"/>
    <w:pPr>
      <w:pBdr/>
      <w:spacing/>
      <w:ind/>
    </w:pPr>
    <w:rPr>
      <w:rFonts w:cs="Mangal"/>
    </w:rPr>
  </w:style>
  <w:style w:type="paragraph" w:styleId="924">
    <w:name w:val="Podpis"/>
    <w:basedOn w:val="892"/>
    <w:next w:val="924"/>
    <w:link w:val="892"/>
    <w:pPr>
      <w:suppressLineNumbers w:val="true"/>
      <w:pBdr/>
      <w:spacing w:after="120" w:before="120"/>
      <w:ind/>
    </w:pPr>
    <w:rPr>
      <w:rFonts w:cs="Arial"/>
      <w:i/>
      <w:iCs/>
      <w:sz w:val="24"/>
      <w:szCs w:val="24"/>
    </w:rPr>
  </w:style>
  <w:style w:type="paragraph" w:styleId="925">
    <w:name w:val="Indeks"/>
    <w:basedOn w:val="892"/>
    <w:next w:val="925"/>
    <w:link w:val="892"/>
    <w:pPr>
      <w:suppressLineNumbers w:val="true"/>
      <w:pBdr/>
      <w:spacing/>
      <w:ind/>
    </w:pPr>
    <w:rPr>
      <w:rFonts w:cs="Mangal"/>
    </w:rPr>
  </w:style>
  <w:style w:type="paragraph" w:styleId="926">
    <w:name w:val="Nagłówek1"/>
    <w:basedOn w:val="892"/>
    <w:next w:val="922"/>
    <w:link w:val="892"/>
    <w:pPr>
      <w:keepNext w:val="true"/>
      <w:pBdr/>
      <w:spacing w:after="120" w:before="240"/>
      <w:ind/>
    </w:pPr>
    <w:rPr>
      <w:rFonts w:ascii="Arial" w:hAnsi="Arial" w:eastAsia="Microsoft YaHei" w:cs="Mangal"/>
      <w:sz w:val="28"/>
      <w:szCs w:val="28"/>
    </w:rPr>
  </w:style>
  <w:style w:type="paragraph" w:styleId="927">
    <w:name w:val="Podpis1"/>
    <w:basedOn w:val="892"/>
    <w:next w:val="927"/>
    <w:link w:val="892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928">
    <w:name w:val="Tekst podstawowy 22"/>
    <w:basedOn w:val="892"/>
    <w:next w:val="928"/>
    <w:link w:val="892"/>
    <w:pPr>
      <w:pBdr/>
      <w:spacing/>
      <w:ind/>
    </w:pPr>
    <w:rPr>
      <w:sz w:val="24"/>
    </w:rPr>
  </w:style>
  <w:style w:type="paragraph" w:styleId="929">
    <w:name w:val="Wcięcie treści tekstu"/>
    <w:basedOn w:val="892"/>
    <w:next w:val="929"/>
    <w:link w:val="892"/>
    <w:pPr>
      <w:pBdr/>
      <w:spacing w:after="120" w:before="0"/>
      <w:ind w:right="0" w:firstLine="0" w:left="283"/>
    </w:pPr>
  </w:style>
  <w:style w:type="paragraph" w:styleId="930">
    <w:name w:val="Tekst podstawowy 21"/>
    <w:basedOn w:val="892"/>
    <w:next w:val="930"/>
    <w:link w:val="892"/>
    <w:pPr>
      <w:pBdr/>
      <w:spacing/>
      <w:ind/>
      <w:jc w:val="both"/>
    </w:pPr>
    <w:rPr>
      <w:sz w:val="24"/>
    </w:rPr>
  </w:style>
  <w:style w:type="paragraph" w:styleId="931">
    <w:name w:val="Zawartość tabeli"/>
    <w:basedOn w:val="892"/>
    <w:next w:val="931"/>
    <w:link w:val="892"/>
    <w:pPr>
      <w:suppressLineNumbers w:val="true"/>
      <w:pBdr/>
      <w:spacing/>
      <w:ind/>
    </w:pPr>
  </w:style>
  <w:style w:type="paragraph" w:styleId="932">
    <w:name w:val="Nagłówek tabeli"/>
    <w:basedOn w:val="931"/>
    <w:next w:val="932"/>
    <w:link w:val="892"/>
    <w:pPr>
      <w:suppressLineNumbers w:val="true"/>
      <w:pBdr/>
      <w:spacing/>
      <w:ind/>
      <w:jc w:val="center"/>
    </w:pPr>
    <w:rPr>
      <w:b/>
      <w:bCs/>
    </w:rPr>
  </w:style>
  <w:style w:type="paragraph" w:styleId="933">
    <w:name w:val="Podpis2"/>
    <w:basedOn w:val="892"/>
    <w:next w:val="933"/>
    <w:link w:val="892"/>
    <w:pPr>
      <w:pBdr/>
      <w:spacing w:after="120" w:before="120"/>
      <w:ind/>
    </w:pPr>
    <w:rPr>
      <w:rFonts w:cs="Mangal"/>
      <w:i/>
      <w:iCs/>
    </w:rPr>
  </w:style>
  <w:style w:type="paragraph" w:styleId="934">
    <w:name w:val="Nagłówek2"/>
    <w:basedOn w:val="892"/>
    <w:next w:val="934"/>
    <w:link w:val="892"/>
    <w:pPr>
      <w:keepNext w:val="true"/>
      <w:pBdr/>
      <w:spacing w:after="120" w:before="240"/>
      <w:ind/>
    </w:pPr>
    <w:rPr>
      <w:rFonts w:ascii="Arial" w:hAnsi="Arial" w:eastAsia="Microsoft YaHei" w:cs="Mangal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mironiuk.ilona</dc:creator>
  <cp:revision>17</cp:revision>
  <dcterms:created xsi:type="dcterms:W3CDTF">1601-01-01T00:00:00Z</dcterms:created>
  <dcterms:modified xsi:type="dcterms:W3CDTF">2025-10-27T07:43:04Z</dcterms:modified>
</cp:coreProperties>
</file>