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Załącznik do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Zarządzenia Nr 74 </w:t>
      </w:r>
      <w:r>
        <w:rPr>
          <w:sz w:val="18"/>
          <w:szCs w:val="18"/>
        </w:rPr>
        <w:t xml:space="preserve">/IX/2025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Wójta Gminy Braniewo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18"/>
          <w:szCs w:val="18"/>
        </w:rPr>
      </w:pPr>
      <w:r>
        <w:rPr>
          <w:sz w:val="18"/>
          <w:szCs w:val="18"/>
        </w:rPr>
        <w:t xml:space="preserve">z dnia 3 listopada 2025  r.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2"/>
        <w:pBdr/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3 listopada 2025r.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 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3954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</w:t>
            </w:r>
            <w:r/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Podleśne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298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  Pęciszewo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EL1B/00029522/4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0,1215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Część( udział 1/6) w  nieruchomości gruntowej zabudowanej budynkiem gospodarczym.</w:t>
            </w:r>
            <w:r/>
          </w:p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43,52 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( z VAT)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0,0020 ha) – przeznaczenie  pod budynek gospodarczy garażowy.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46,79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( z VAT)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Nowa Pasłęka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gm. Braniewo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53/6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obr. Nowa Pasłęka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EL1B/00013548/7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0,1045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0,0124 ha) – przeznaczenie pod ogródek przydomowy.</w:t>
            </w:r>
            <w:r/>
            <w:r/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13,95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20</cp:revision>
  <dcterms:created xsi:type="dcterms:W3CDTF">2021-03-01T06:29:00Z</dcterms:created>
  <dcterms:modified xsi:type="dcterms:W3CDTF">2025-11-04T06:12:43Z</dcterms:modified>
</cp:coreProperties>
</file>