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4"/>
        <w:widowControl w:val="false"/>
        <w:pBdr/>
        <w:spacing w:after="0" w:before="0" w:line="240" w:lineRule="auto"/>
        <w:ind/>
        <w:jc w:val="right"/>
        <w:rPr/>
      </w:pPr>
      <w:r>
        <w:rPr>
          <w:i/>
          <w:szCs w:val="16"/>
        </w:rPr>
        <w:t xml:space="preserve">  Braniewo, dnia 13 stycznia 2026 r</w:t>
      </w:r>
      <w:r>
        <w:rPr>
          <w:i/>
          <w:sz w:val="16"/>
          <w:szCs w:val="16"/>
        </w:rPr>
        <w:t xml:space="preserve">.             </w:t>
      </w:r>
      <w:r/>
    </w:p>
    <w:p>
      <w:pPr>
        <w:pStyle w:val="894"/>
        <w:widowControl w:val="false"/>
        <w:pBdr/>
        <w:spacing w:after="0" w:before="0" w:line="240" w:lineRule="auto"/>
        <w:ind/>
        <w:rPr/>
      </w:pPr>
      <w:r>
        <w:rPr>
          <w:i/>
          <w:szCs w:val="16"/>
        </w:rPr>
        <w:t xml:space="preserve">WGK.6845.17.2025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/>
    </w:p>
    <w:p>
      <w:pPr>
        <w:pStyle w:val="894"/>
        <w:widowControl w:val="false"/>
        <w:pBdr/>
        <w:spacing w:after="0" w:before="0" w:line="240" w:lineRule="auto"/>
        <w:ind/>
        <w:jc w:val="center"/>
        <w:rPr/>
      </w:pPr>
      <w:r>
        <w:rPr>
          <w:b/>
          <w:i/>
          <w:sz w:val="28"/>
          <w:szCs w:val="28"/>
        </w:rPr>
        <w:t xml:space="preserve">          </w:t>
      </w:r>
      <w:r/>
    </w:p>
    <w:p>
      <w:pPr>
        <w:pStyle w:val="894"/>
        <w:widowControl w:val="false"/>
        <w:pBdr/>
        <w:spacing w:after="0" w:before="0" w:line="240" w:lineRule="auto"/>
        <w:ind/>
        <w:jc w:val="center"/>
        <w:rPr/>
      </w:pPr>
      <w:r>
        <w:rPr>
          <w:b/>
          <w:i/>
          <w:sz w:val="28"/>
          <w:szCs w:val="28"/>
        </w:rPr>
        <w:t xml:space="preserve">Ogłoszenie o przetargu</w:t>
      </w:r>
      <w:r/>
    </w:p>
    <w:p>
      <w:pPr>
        <w:pStyle w:val="894"/>
        <w:pBdr/>
        <w:spacing w:after="0" w:before="0" w:line="240" w:lineRule="auto"/>
        <w:ind/>
        <w:jc w:val="center"/>
        <w:rPr/>
      </w:pPr>
      <w:r>
        <w:rPr>
          <w:i/>
          <w:sz w:val="21"/>
          <w:szCs w:val="21"/>
        </w:rPr>
        <w:t xml:space="preserve">Działając na podstawie art. 30 ust. 2 pkt. 3 ustawy z dnia 8 marca 1990 roku o samorządzie gminnym</w:t>
        <w:br w:type="textWrapping" w:clear="all"/>
        <w:t xml:space="preserve">(t.j. Dz. U. z 2025 r., poz. 1153), art. 37 ust. 1, 38 ust. 1 oraz ar</w:t>
      </w:r>
      <w:r>
        <w:rPr>
          <w:i/>
          <w:sz w:val="21"/>
          <w:szCs w:val="21"/>
        </w:rPr>
        <w:t xml:space="preserve">t.</w:t>
      </w:r>
      <w:r>
        <w:rPr>
          <w:i/>
          <w:sz w:val="21"/>
          <w:szCs w:val="21"/>
        </w:rPr>
        <w:t xml:space="preserve"> 40  ust. 1 pkt. 1 ustawy z dnia 21 sierpnia 1997 r.</w:t>
        <w:br/>
        <w:t xml:space="preserve">- o gospodarce nieruchomościami (t.j. Dz. U. z 2024 r., poz. 1145 ze zm.),  - w sprawie wyrażenia zgody na zawarcie na okres do 3 lata umowy dzierżawy nieruchomości, położonej w miejscowości  Brzeszczyny</w:t>
      </w:r>
      <w:r/>
    </w:p>
    <w:p>
      <w:pPr>
        <w:pStyle w:val="894"/>
        <w:pBdr/>
        <w:spacing w:after="0" w:before="0" w:line="240" w:lineRule="auto"/>
        <w:ind/>
        <w:jc w:val="center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94"/>
        <w:pBdr/>
        <w:spacing w:after="0" w:before="0" w:line="240" w:lineRule="auto"/>
        <w:ind/>
        <w:jc w:val="center"/>
        <w:rPr/>
      </w:pPr>
      <w:r>
        <w:rPr>
          <w:b/>
          <w:i/>
          <w:sz w:val="28"/>
          <w:szCs w:val="28"/>
        </w:rPr>
        <w:t xml:space="preserve">ogłaszam</w:t>
      </w:r>
      <w:r/>
    </w:p>
    <w:p>
      <w:pPr>
        <w:pStyle w:val="894"/>
        <w:pBdr/>
        <w:spacing w:after="0" w:before="0" w:line="240" w:lineRule="auto"/>
        <w:ind/>
        <w:jc w:val="center"/>
        <w:rPr/>
      </w:pPr>
      <w:r>
        <w:rPr>
          <w:b/>
          <w:i/>
          <w:sz w:val="28"/>
          <w:szCs w:val="28"/>
        </w:rPr>
        <w:t xml:space="preserve">pierwszy przetarg ustny nieograniczony na dzierżawę udziału 1/9 w nieruchomości zabudowanej budynkiem gospodarczym, stanowiącej własność Gminy Braniewo</w:t>
      </w:r>
      <w:r/>
    </w:p>
    <w:p>
      <w:pPr>
        <w:pStyle w:val="894"/>
        <w:pBdr/>
        <w:spacing w:after="0" w:before="0" w:line="240" w:lineRule="auto"/>
        <w:ind/>
        <w:jc w:val="center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085"/>
        <w:gridCol w:w="615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Oznaczenie nieruchomości według ksiąg wieczystych oraz katastru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Działka nr </w:t>
            </w:r>
            <w:r>
              <w:rPr>
                <w:b/>
                <w:bCs/>
                <w:i/>
              </w:rPr>
              <w:t xml:space="preserve"> 376/39</w:t>
            </w:r>
            <w:r/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Obręb  Szyleny</w:t>
            </w:r>
            <w:r/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KW Nr EL1B/00014663/6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Powierzchnia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0,0903 ha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Opis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 Udział (1/9) w nieruchomości gruntowej zabudowanej budynkiem gospodarczym. W ewidencji gruntów i budynków sklasyfikowana jako  B - 0,0903 ha.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Przeznaczenie nieruchomości    i sposób jej zagospodarowania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Przeznaczony na budynek gospodarczy.</w:t>
            </w:r>
            <w:r/>
          </w:p>
        </w:tc>
      </w:tr>
      <w:tr>
        <w:trPr>
          <w:trHeight w:val="16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Stawka  rocznego czynszu dzierżawnego (nie podlega licytacji)</w:t>
            </w:r>
            <w:r/>
            <w:r/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highlight w:val="none"/>
                <w:shd w:val="clear" w:color="auto" w:fill="ffffff"/>
              </w:rPr>
            </w:r>
            <w:r>
              <w:rPr>
                <w:b/>
                <w:bCs/>
                <w:i/>
                <w:highlight w:val="none"/>
                <w:shd w:val="clear" w:color="auto" w:fill="ffffff"/>
              </w:rPr>
            </w:r>
            <w:r>
              <w:rPr>
                <w:b/>
                <w:bCs/>
                <w:i/>
                <w:highlight w:val="none"/>
                <w:shd w:val="clear" w:color="auto" w:fill="ffffff"/>
              </w:rPr>
            </w:r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>
                <w:b/>
                <w:bCs/>
                <w:i/>
                <w:highlight w:val="none"/>
              </w:rPr>
            </w:pPr>
            <w:r>
              <w:rPr>
                <w:i/>
              </w:rPr>
              <w:t xml:space="preserve">Ustalona zgodnie z Zarządzeniem Wójta Gminy Braniewo z dnia 31.12.2020 r., Nr 79/VIII/2020 na kwotę </w:t>
            </w:r>
            <w:r>
              <w:rPr>
                <w:b/>
                <w:bCs/>
                <w:i/>
                <w:shd w:val="clear" w:color="auto" w:fill="ffffff"/>
              </w:rPr>
              <w:t xml:space="preserve">40,34 zł</w:t>
            </w:r>
            <w:r/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>
                <w:b w:val="0"/>
                <w:bCs/>
                <w:i/>
              </w:rPr>
            </w:pPr>
            <w:r>
              <w:rPr>
                <w:b/>
                <w:bCs/>
                <w:i/>
                <w:shd w:val="clear" w:color="auto" w:fill="ffffff"/>
              </w:rPr>
            </w:r>
            <w:r>
              <w:rPr>
                <w:b w:val="0"/>
                <w:bCs w:val="0"/>
                <w:i/>
                <w:shd w:val="clear" w:color="auto" w:fill="ffffff"/>
              </w:rPr>
              <w:t xml:space="preserve"> waloryzowany corocznie o 3%,</w:t>
            </w:r>
            <w:r/>
          </w:p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b w:val="0"/>
                <w:bCs w:val="0"/>
                <w:i/>
                <w:shd w:val="clear" w:color="auto" w:fill="ffffff"/>
              </w:rPr>
              <w:t xml:space="preserve"> </w:t>
            </w:r>
            <w:r>
              <w:rPr>
                <w:b/>
                <w:i/>
              </w:rPr>
              <w:t xml:space="preserve">Termin wnoszenia opłaty </w:t>
            </w:r>
            <w:r>
              <w:rPr>
                <w:i/>
              </w:rPr>
              <w:t xml:space="preserve">corocznie do dnia 31 marca</w:t>
            </w:r>
            <w:r/>
            <w:r/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</w:r>
            <w:r/>
            <w:r/>
          </w:p>
          <w:p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b w:val="0"/>
                <w:bCs w:val="0"/>
                <w:i/>
                <w:shd w:val="clear" w:color="auto" w:fill="ffffff"/>
              </w:rPr>
            </w:r>
            <w:r/>
            <w:r/>
          </w:p>
          <w:p>
            <w:pPr>
              <w:pStyle w:val="894"/>
              <w:pBdr/>
              <w:spacing w:after="0" w:before="0" w:line="240" w:lineRule="auto"/>
              <w:ind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Stawka wywoł</w:t>
            </w:r>
            <w:r>
              <w:rPr>
                <w:b/>
                <w:i/>
              </w:rPr>
              <w:t xml:space="preserve">awcza miesięcznego czynszu najmu</w:t>
            </w:r>
            <w:r/>
            <w:r/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Ustalona zgodnie z Zarządzeniem Wójta Gminy Braniewo z dnia 31.12.2020 r., Nr 79/VIII/2020 na kwotę </w:t>
            </w:r>
            <w:r>
              <w:rPr>
                <w:b/>
                <w:bCs/>
                <w:i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shd w:val="clear" w:color="auto" w:fill="ffffff"/>
              </w:rPr>
              <w:t xml:space="preserve">53,82 zł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Wysokość wadium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>
                <w:highlight w:val="white"/>
              </w:rPr>
            </w:pPr>
            <w:r>
              <w:rPr>
                <w:b/>
                <w:bCs/>
                <w:i/>
                <w:color w:val="000000"/>
                <w:highlight w:val="none"/>
                <w:shd w:val="clear" w:color="auto" w:fill="ffffff"/>
              </w:rPr>
              <w:t xml:space="preserve">5</w:t>
            </w:r>
            <w:r>
              <w:rPr>
                <w:b/>
                <w:bCs/>
                <w:i/>
                <w:color w:val="000000"/>
                <w:highlight w:val="white"/>
                <w:shd w:val="clear" w:color="auto" w:fill="ffffff"/>
              </w:rPr>
              <w:t xml:space="preserve">0</w:t>
            </w:r>
            <w:r>
              <w:rPr>
                <w:b/>
                <w:bCs/>
                <w:i/>
                <w:color w:val="000000"/>
                <w:highlight w:val="white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color w:val="000000"/>
                <w:highlight w:val="white"/>
                <w:shd w:val="clear" w:color="auto" w:fill="ffffff"/>
              </w:rPr>
              <w:t xml:space="preserve">zł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Obciążenia i zobowiązania, których przedmiotem jest nieruchomość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Brak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Okres obowiązywania umowy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  <w:color w:val="000000"/>
              </w:rPr>
              <w:t xml:space="preserve">Do dnia 31 grudnia 2028 r.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b/>
                <w:i/>
              </w:rPr>
              <w:t xml:space="preserve">Forma przetargowa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before="0" w:line="240" w:lineRule="auto"/>
              <w:ind/>
              <w:jc w:val="center"/>
              <w:rPr/>
            </w:pPr>
            <w:r>
              <w:rPr>
                <w:i/>
              </w:rPr>
              <w:t xml:space="preserve">Przetarg ustny nieograniczony</w:t>
            </w:r>
            <w:r/>
          </w:p>
        </w:tc>
      </w:tr>
    </w:tbl>
    <w:p>
      <w:pPr>
        <w:pStyle w:val="894"/>
        <w:pBdr/>
        <w:spacing w:after="0" w:before="0" w:line="240" w:lineRule="auto"/>
        <w:ind w:right="0" w:firstLine="708"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Przetarg odbędzie się </w:t>
      </w:r>
      <w:r>
        <w:rPr>
          <w:b/>
          <w:bCs/>
          <w:i/>
          <w:sz w:val="24"/>
          <w:szCs w:val="24"/>
          <w:u w:val="single"/>
        </w:rPr>
        <w:t xml:space="preserve">17 lutego</w:t>
      </w:r>
      <w:r>
        <w:rPr>
          <w:b/>
          <w:bCs/>
          <w:i/>
          <w:sz w:val="24"/>
          <w:szCs w:val="24"/>
          <w:u w:val="single"/>
        </w:rPr>
        <w:t xml:space="preserve"> </w:t>
      </w:r>
      <w:r>
        <w:rPr>
          <w:b/>
          <w:bCs/>
          <w:i/>
          <w:sz w:val="24"/>
          <w:szCs w:val="24"/>
          <w:u w:val="single"/>
        </w:rPr>
        <w:t xml:space="preserve">2026 r. o godz. 10 </w:t>
      </w:r>
      <w:r>
        <w:rPr>
          <w:b/>
          <w:bCs/>
          <w:i/>
          <w:sz w:val="24"/>
          <w:szCs w:val="24"/>
          <w:u w:val="single"/>
          <w:vertAlign w:val="superscript"/>
        </w:rPr>
        <w:t xml:space="preserve">00</w:t>
      </w:r>
      <w:r>
        <w:rPr>
          <w:i/>
          <w:sz w:val="24"/>
          <w:szCs w:val="24"/>
          <w:u w:val="single"/>
        </w:rPr>
        <w:t xml:space="preserve"> w siedzibie Urzędu Gminy Braniewo, pokój nr 12 – sala konferencyjna.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Warunkiem uczestnictwa w przetargu jest wpłacenie </w:t>
      </w:r>
      <w:r>
        <w:rPr>
          <w:i/>
          <w:iCs/>
          <w:sz w:val="24"/>
          <w:szCs w:val="24"/>
        </w:rPr>
        <w:t xml:space="preserve">w terminie do dnia 10 lutego 2026 r., przelewem bankowym na rachunek bankowy Gminy Braniewo nr </w:t>
      </w:r>
      <w:r>
        <w:rPr>
          <w:b/>
          <w:bCs/>
          <w:i/>
          <w:iCs/>
          <w:sz w:val="24"/>
          <w:szCs w:val="24"/>
        </w:rPr>
        <w:t xml:space="preserve">05 8313 0009 0039 0039 2000 0160</w:t>
      </w:r>
      <w:r>
        <w:rPr>
          <w:i/>
          <w:iCs/>
          <w:sz w:val="24"/>
          <w:szCs w:val="24"/>
        </w:rPr>
        <w:t xml:space="preserve"> w Braniewsko-Pasłęckim Banku Spółdzielczym Oddział w Braniewie,  </w:t>
      </w:r>
      <w:r>
        <w:rPr>
          <w:i/>
          <w:sz w:val="24"/>
          <w:szCs w:val="24"/>
        </w:rPr>
        <w:t xml:space="preserve">wadium w wysokości </w:t>
      </w:r>
      <w:r>
        <w:rPr>
          <w:b/>
          <w:bCs/>
          <w:i/>
          <w:sz w:val="24"/>
          <w:szCs w:val="24"/>
          <w:highlight w:val="none"/>
        </w:rPr>
        <w:t xml:space="preserve">50</w:t>
      </w:r>
      <w:r>
        <w:rPr>
          <w:b/>
          <w:bCs/>
          <w:i/>
          <w:color w:val="000000"/>
          <w:sz w:val="24"/>
          <w:szCs w:val="24"/>
          <w:highlight w:val="none"/>
        </w:rPr>
        <w:t xml:space="preserve">,00</w:t>
      </w:r>
      <w:r>
        <w:rPr>
          <w:b/>
          <w:bCs/>
          <w:i/>
          <w:color w:val="000000"/>
          <w:sz w:val="24"/>
          <w:szCs w:val="24"/>
        </w:rPr>
        <w:t xml:space="preserve"> zł</w:t>
      </w:r>
      <w:r>
        <w:rPr>
          <w:i/>
          <w:sz w:val="24"/>
          <w:szCs w:val="24"/>
        </w:rPr>
        <w:t xml:space="preserve">. Za datę jego wniesienia uważa się datę wpływu środków na w/w rachunek.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Uczestnicy przetargu zobowiązani są prz</w:t>
      </w:r>
      <w:r>
        <w:rPr>
          <w:i/>
          <w:sz w:val="24"/>
          <w:szCs w:val="24"/>
        </w:rPr>
        <w:t xml:space="preserve">edłożyć komisji przetargowej dowód wpłaty wadium, okazać dowód tożsamości oraz złożyć pisemne oświadczenie o zapoznaniu się z warunkami przetargu i przyjęciu ich bez zastrzeżeń (do wypełnienia na przetargu), oraz o tym, że znany jest im stan nieruchomości.</w:t>
      </w:r>
      <w:r/>
    </w:p>
    <w:p>
      <w:pPr>
        <w:pStyle w:val="894"/>
        <w:pBdr/>
        <w:spacing w:after="0" w:before="0" w:line="240" w:lineRule="auto"/>
        <w:ind w:right="0" w:firstLine="0" w:left="708"/>
        <w:jc w:val="both"/>
        <w:rPr/>
      </w:pPr>
      <w:r>
        <w:rPr>
          <w:i/>
          <w:sz w:val="24"/>
          <w:szCs w:val="24"/>
        </w:rPr>
        <w:t xml:space="preserve">W  przypadku  uczestnictwa  w  przetargu  pełnomocnika  reprezentującego  osobę fizyczną  okazanie notarialnie  potwierdzonego  pełnomocnictwa  upoważniającego  do działania  na  każdym  etapie postępowania przetargowego.</w:t>
      </w:r>
      <w:r/>
    </w:p>
    <w:p>
      <w:pPr>
        <w:pStyle w:val="894"/>
        <w:pBdr/>
        <w:spacing w:after="0" w:before="0" w:line="240" w:lineRule="auto"/>
        <w:ind w:right="0" w:firstLine="0" w:left="708"/>
        <w:jc w:val="both"/>
        <w:rPr/>
      </w:pPr>
      <w:r>
        <w:rPr>
          <w:i/>
          <w:sz w:val="24"/>
          <w:szCs w:val="24"/>
        </w:rPr>
        <w:t xml:space="preserve">W przypadku małżonków  do  dokonania  czynności  przetargowych  konieczna  jest obecność  obojga małżonków lub jednego z nich ze stosownym oświadczeniem współmałżonka z podpisem notarialnie poświadczonym, zawierającym zgodę na odpłatne  na</w:t>
      </w:r>
      <w:r>
        <w:rPr>
          <w:i/>
          <w:sz w:val="24"/>
          <w:szCs w:val="24"/>
        </w:rPr>
        <w:t xml:space="preserve">bycie  nieruchomości ze  środków pochodzących  z  majątku  wspólnego  za  cenę  ustaloną w przetargu lub złożenie oświadczenia</w:t>
        <w:br/>
        <w:t xml:space="preserve"> o  nabywaniu  nieruchomości  z majątku  odrębnego  albo przedłożenia dokumentu zniesienia współwłasności majątkowej małżeńskiej.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O wysokości postąpienia decydują uczestnicy przetargu z tym, że postąpienie nie może wynosić mniej niż </w:t>
      </w:r>
      <w:r>
        <w:rPr>
          <w:b/>
          <w:i/>
          <w:sz w:val="24"/>
          <w:szCs w:val="24"/>
        </w:rPr>
        <w:t xml:space="preserve">1%</w:t>
      </w:r>
      <w:r>
        <w:rPr>
          <w:i/>
          <w:sz w:val="24"/>
          <w:szCs w:val="24"/>
        </w:rPr>
        <w:t xml:space="preserve"> ceny wywoławczej, z zaokrągleniem w górę do pełnych złotych, tj. nie mniej niż</w:t>
      </w:r>
      <w:r>
        <w:rPr>
          <w:i/>
          <w:sz w:val="24"/>
          <w:szCs w:val="24"/>
          <w:shd w:val="clear" w:color="auto" w:fill="ffffff"/>
        </w:rPr>
        <w:t xml:space="preserve"> </w:t>
      </w:r>
      <w:r>
        <w:rPr>
          <w:b/>
          <w:bCs/>
          <w:i/>
          <w:color w:val="000000"/>
          <w:sz w:val="24"/>
          <w:szCs w:val="24"/>
          <w:highlight w:val="none"/>
          <w:shd w:val="clear" w:color="auto" w:fill="ffffff"/>
        </w:rPr>
        <w:t xml:space="preserve">10</w:t>
      </w:r>
      <w:r>
        <w:rPr>
          <w:b/>
          <w:bCs/>
          <w:i/>
          <w:sz w:val="24"/>
          <w:szCs w:val="24"/>
          <w:highlight w:val="none"/>
          <w:shd w:val="clear" w:color="auto" w:fill="ffffff"/>
        </w:rPr>
        <w:t xml:space="preserve">,00</w:t>
      </w:r>
      <w:r>
        <w:rPr>
          <w:b/>
          <w:bCs/>
          <w:i/>
          <w:sz w:val="24"/>
          <w:szCs w:val="24"/>
          <w:highlight w:val="none"/>
          <w:shd w:val="clear" w:color="auto" w:fill="ffffff"/>
        </w:rPr>
        <w:t xml:space="preserve"> </w:t>
      </w:r>
      <w:r>
        <w:rPr>
          <w:b/>
          <w:bCs/>
          <w:i/>
          <w:sz w:val="24"/>
          <w:szCs w:val="24"/>
          <w:shd w:val="clear" w:color="auto" w:fill="ffffff"/>
        </w:rPr>
        <w:t xml:space="preserve">zł</w:t>
      </w:r>
      <w:r>
        <w:rPr>
          <w:i/>
          <w:sz w:val="24"/>
          <w:szCs w:val="24"/>
          <w:shd w:val="clear" w:color="auto" w:fill="ffffff"/>
        </w:rPr>
        <w:t xml:space="preserve">.</w:t>
      </w:r>
      <w:r>
        <w:rPr>
          <w:i/>
          <w:sz w:val="24"/>
          <w:szCs w:val="24"/>
        </w:rPr>
        <w:t xml:space="preserve">  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Przetarg jest ważny bez względu na liczbę uczestników, jeżeli chociaż jeden uczestnik zaoferował,</w:t>
        <w:br w:type="textWrapping" w:clear="all"/>
        <w:t xml:space="preserve">co najmniej jedno postąpienie powyżej ceny wywoławczej.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Wadiu</w:t>
      </w:r>
      <w:r>
        <w:rPr>
          <w:i/>
          <w:sz w:val="24"/>
          <w:szCs w:val="24"/>
        </w:rPr>
        <w:t xml:space="preserve">m wpłacone przez uczestnika, który przetarg wygra zalicza się na poczet czynszu dzierżawnego. Pozostałym uczestnikom przetargu wadium zostanie zwrócone nie później niż przed upływem 3 dni roboczych od dnia zamknięcia, odwołania lub unieważnienia przetargu.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Osoba ustalona jako dzierżawca nieruchomości zostanie zawiadomiona o terminie i miejscu zawarcia umowy dzierżawy.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Jeżeli osoba ustalona, jako dzierżawca nieruchomości nie stawi się bez usprawiedliwienia w miejscu</w:t>
        <w:br w:type="textWrapping" w:clear="all"/>
        <w:t xml:space="preserve">i terminie wskazanym w zawiadomieniu, o którym mowa powyżej, organizator może odstąpić</w:t>
        <w:br w:type="textWrapping" w:clear="all"/>
        <w:t xml:space="preserve">od zawarcia umowy dzierżawy, a wpłacone wadium nie podlega zwrotowi.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Od dnia zawarcia umowy Dzierżawca obowiązany będzie do ponoszenia, oprócz czynszu dzierżawnego, wszelkich obciążeń p</w:t>
      </w:r>
      <w:r>
        <w:rPr>
          <w:i/>
          <w:sz w:val="24"/>
          <w:szCs w:val="24"/>
        </w:rPr>
        <w:t xml:space="preserve">ubliczno–prawnych związanych z przedmiotem dzierżawy,</w:t>
        <w:br/>
        <w:t xml:space="preserve">a obciążających zgodnie obowiązującymi przepisami, właściciela lub posiadacza nieruchomości,</w:t>
        <w:br/>
        <w:t xml:space="preserve">w tym: podatku rolnego, ewentualnych opłat melioracyjnych oraz innych obciążeń związanych</w:t>
        <w:br/>
        <w:t xml:space="preserve">z jego posiadaniem.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Koszty ewentualnego okazania, na żądanie dzierżawcy, granic nieruchomości w terenie ponosi dzierżawca. 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Szczegółowe informacje dotyczące nieruchomości i treści ogłoszenia można uzyskać Urzędzie Gminy Braniewo, pokój nr 11, w godz. 7</w:t>
      </w:r>
      <w:r>
        <w:rPr>
          <w:i/>
          <w:sz w:val="24"/>
          <w:szCs w:val="24"/>
          <w:u w:val="single"/>
          <w:vertAlign w:val="superscript"/>
        </w:rPr>
        <w:t xml:space="preserve">00</w:t>
      </w:r>
      <w:r>
        <w:rPr>
          <w:i/>
          <w:sz w:val="24"/>
          <w:szCs w:val="24"/>
          <w:vertAlign w:val="superscript"/>
        </w:rPr>
        <w:t xml:space="preserve"> </w:t>
      </w:r>
      <w:r>
        <w:rPr>
          <w:i/>
          <w:sz w:val="24"/>
          <w:szCs w:val="24"/>
        </w:rPr>
        <w:t xml:space="preserve">do 15</w:t>
      </w:r>
      <w:r>
        <w:rPr>
          <w:i/>
          <w:sz w:val="24"/>
          <w:szCs w:val="24"/>
          <w:u w:val="single"/>
          <w:vertAlign w:val="superscript"/>
        </w:rPr>
        <w:t xml:space="preserve">00</w:t>
      </w:r>
      <w:r>
        <w:rPr>
          <w:i/>
          <w:sz w:val="24"/>
          <w:szCs w:val="24"/>
          <w:vertAlign w:val="superscript"/>
        </w:rPr>
        <w:t xml:space="preserve"> </w:t>
      </w:r>
      <w:r>
        <w:rPr>
          <w:i/>
          <w:sz w:val="24"/>
          <w:szCs w:val="24"/>
        </w:rPr>
        <w:t xml:space="preserve">, pod numerem tel. 55 644 03 00.</w:t>
      </w:r>
      <w:r/>
    </w:p>
    <w:p>
      <w:pPr>
        <w:pStyle w:val="894"/>
        <w:numPr>
          <w:ilvl w:val="0"/>
          <w:numId w:val="1"/>
        </w:numPr>
        <w:pBdr/>
        <w:spacing w:after="0" w:before="0" w:line="240" w:lineRule="auto"/>
        <w:ind/>
        <w:jc w:val="both"/>
        <w:rPr/>
      </w:pPr>
      <w:r>
        <w:rPr>
          <w:i/>
          <w:sz w:val="24"/>
          <w:szCs w:val="24"/>
        </w:rPr>
        <w:t xml:space="preserve">Niniejsze ogłoszenie podlega wywieszeniu na tablicy ogłoszeń Urzędu Gminy Braniewo</w:t>
        <w:br w:type="textWrapping" w:clear="all"/>
        <w:t xml:space="preserve">i Sołectwa Rodowo oraz publikacji na stronie internetowej Gminy Braniewo, 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75"/>
          <w:i/>
          <w:sz w:val="24"/>
          <w:szCs w:val="24"/>
        </w:rPr>
        <w:t xml:space="preserve">http://www.gminabraniewo.pl</w:t>
      </w:r>
      <w:r>
        <w:fldChar w:fldCharType="end"/>
      </w:r>
      <w:r>
        <w:rPr>
          <w:i/>
          <w:sz w:val="24"/>
          <w:szCs w:val="24"/>
        </w:rPr>
        <w:t xml:space="preserve"> i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75"/>
          <w:i/>
          <w:sz w:val="24"/>
          <w:szCs w:val="24"/>
        </w:rPr>
        <w:t xml:space="preserve">https://bipbraniewo.warmia.mazury.pl/</w:t>
      </w:r>
      <w:r>
        <w:fldChar w:fldCharType="end"/>
      </w:r>
      <w:r>
        <w:rPr>
          <w:i/>
          <w:sz w:val="24"/>
          <w:szCs w:val="24"/>
        </w:rPr>
        <w:t xml:space="preserve"> na okres 30 dni przed wyznaczonym terminem przetargu, tj. od dnia 13.01.2026 r.</w:t>
      </w:r>
      <w:r/>
    </w:p>
    <w:p>
      <w:pPr>
        <w:pStyle w:val="894"/>
        <w:pBdr/>
        <w:spacing w:after="0" w:before="0" w:line="240" w:lineRule="auto"/>
        <w:ind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Ogłoszenie podlega publikacji na stronie internetowej Gminy Braniewo pod adresem: www.gminabraniewo.pl, oraz w Biuletynie Informacji Publicznej Gminy Braniewo pod adresem: https://bipbraniewo.warmia.mazury.pl/.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720" w:right="720" w:bottom="720" w:left="72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bCs w:val="0"/>
        <w:i/>
        <w:sz w:val="24"/>
        <w:szCs w:val="24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4"/>
    <w:next w:val="894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4"/>
    <w:next w:val="894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4"/>
    <w:next w:val="894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4"/>
    <w:next w:val="894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4"/>
    <w:next w:val="894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4"/>
    <w:next w:val="894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4"/>
    <w:next w:val="894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4"/>
    <w:next w:val="894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4"/>
    <w:next w:val="894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94"/>
    <w:next w:val="894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0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94"/>
    <w:next w:val="894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40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94"/>
    <w:next w:val="894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40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7">
    <w:name w:val="List Paragraph"/>
    <w:basedOn w:val="894"/>
    <w:uiPriority w:val="34"/>
    <w:qFormat/>
    <w:pPr>
      <w:pBdr/>
      <w:spacing/>
      <w:ind w:left="720"/>
      <w:contextualSpacing w:val="true"/>
    </w:pPr>
  </w:style>
  <w:style w:type="character" w:styleId="858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94"/>
    <w:next w:val="894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0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2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63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5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6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8">
    <w:name w:val="Header"/>
    <w:basedOn w:val="894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Header Char"/>
    <w:basedOn w:val="840"/>
    <w:link w:val="868"/>
    <w:uiPriority w:val="99"/>
    <w:pPr>
      <w:pBdr/>
      <w:spacing/>
      <w:ind/>
    </w:pPr>
  </w:style>
  <w:style w:type="paragraph" w:styleId="870">
    <w:name w:val="Footer"/>
    <w:basedOn w:val="894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Footer Char"/>
    <w:basedOn w:val="840"/>
    <w:link w:val="870"/>
    <w:uiPriority w:val="99"/>
    <w:pPr>
      <w:pBdr/>
      <w:spacing/>
      <w:ind/>
    </w:pPr>
  </w:style>
  <w:style w:type="paragraph" w:styleId="872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3">
    <w:name w:val="footnote text"/>
    <w:basedOn w:val="894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4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40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2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3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4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5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6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7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88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89">
    <w:name w:val="toc 9"/>
    <w:basedOn w:val="894"/>
    <w:next w:val="894"/>
    <w:uiPriority w:val="39"/>
    <w:unhideWhenUsed/>
    <w:pPr>
      <w:pBdr/>
      <w:spacing w:after="100"/>
      <w:ind w:left="1760"/>
    </w:pPr>
  </w:style>
  <w:style w:type="character" w:styleId="890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91">
    <w:name w:val="TOC Heading"/>
    <w:uiPriority w:val="39"/>
    <w:unhideWhenUsed/>
    <w:pPr>
      <w:pBdr/>
      <w:spacing/>
      <w:ind/>
    </w:pPr>
  </w:style>
  <w:style w:type="paragraph" w:styleId="892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table" w:styleId="89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 w:default="1">
    <w:name w:val="Normal"/>
    <w:next w:val="894"/>
    <w:link w:val="894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Calibri"/>
      <w:color w:val="auto"/>
      <w:sz w:val="22"/>
      <w:szCs w:val="22"/>
      <w:lang w:val="pl-PL" w:eastAsia="zh-CN" w:bidi="ar-SA"/>
    </w:rPr>
  </w:style>
  <w:style w:type="character" w:styleId="895">
    <w:name w:val="WW8Num1z0"/>
    <w:next w:val="895"/>
    <w:link w:val="894"/>
    <w:pPr>
      <w:pBdr/>
      <w:spacing/>
      <w:ind/>
    </w:pPr>
    <w:rPr>
      <w:b w:val="0"/>
      <w:bCs w:val="0"/>
      <w:i/>
      <w:sz w:val="24"/>
      <w:szCs w:val="24"/>
    </w:rPr>
  </w:style>
  <w:style w:type="character" w:styleId="896">
    <w:name w:val="Domyślna czcionka akapitu"/>
    <w:next w:val="896"/>
    <w:link w:val="894"/>
    <w:pPr>
      <w:pBdr/>
      <w:spacing/>
      <w:ind/>
    </w:pPr>
  </w:style>
  <w:style w:type="character" w:styleId="897">
    <w:name w:val="WW8Num2z0"/>
    <w:next w:val="897"/>
    <w:link w:val="894"/>
    <w:pPr>
      <w:pBdr/>
      <w:spacing/>
      <w:ind/>
    </w:pPr>
    <w:rPr>
      <w:b w:val="0"/>
    </w:rPr>
  </w:style>
  <w:style w:type="character" w:styleId="898">
    <w:name w:val="WW8Num2z1"/>
    <w:next w:val="898"/>
    <w:link w:val="894"/>
    <w:pPr>
      <w:pBdr/>
      <w:spacing/>
      <w:ind/>
    </w:pPr>
  </w:style>
  <w:style w:type="character" w:styleId="899">
    <w:name w:val="WW8Num2z2"/>
    <w:next w:val="899"/>
    <w:link w:val="894"/>
    <w:pPr>
      <w:pBdr/>
      <w:spacing/>
      <w:ind/>
    </w:pPr>
  </w:style>
  <w:style w:type="character" w:styleId="900">
    <w:name w:val="WW8Num2z3"/>
    <w:next w:val="900"/>
    <w:link w:val="894"/>
    <w:pPr>
      <w:pBdr/>
      <w:spacing/>
      <w:ind/>
    </w:pPr>
  </w:style>
  <w:style w:type="character" w:styleId="901">
    <w:name w:val="WW8Num2z4"/>
    <w:next w:val="901"/>
    <w:link w:val="894"/>
    <w:pPr>
      <w:pBdr/>
      <w:spacing/>
      <w:ind/>
    </w:pPr>
  </w:style>
  <w:style w:type="character" w:styleId="902">
    <w:name w:val="WW8Num2z5"/>
    <w:next w:val="902"/>
    <w:link w:val="894"/>
    <w:pPr>
      <w:pBdr/>
      <w:spacing/>
      <w:ind/>
    </w:pPr>
  </w:style>
  <w:style w:type="character" w:styleId="903">
    <w:name w:val="WW8Num2z6"/>
    <w:next w:val="903"/>
    <w:link w:val="894"/>
    <w:pPr>
      <w:pBdr/>
      <w:spacing/>
      <w:ind/>
    </w:pPr>
  </w:style>
  <w:style w:type="character" w:styleId="904">
    <w:name w:val="WW8Num2z7"/>
    <w:next w:val="904"/>
    <w:pPr>
      <w:pBdr/>
      <w:spacing/>
      <w:ind/>
    </w:pPr>
  </w:style>
  <w:style w:type="character" w:styleId="905">
    <w:name w:val="WW8Num2z8"/>
    <w:next w:val="905"/>
    <w:link w:val="894"/>
    <w:pPr>
      <w:pBdr/>
      <w:spacing/>
      <w:ind/>
    </w:pPr>
  </w:style>
  <w:style w:type="character" w:styleId="906">
    <w:name w:val="WW8Num1z1"/>
    <w:next w:val="906"/>
    <w:link w:val="894"/>
    <w:pPr>
      <w:pBdr/>
      <w:spacing/>
      <w:ind/>
    </w:pPr>
  </w:style>
  <w:style w:type="character" w:styleId="907">
    <w:name w:val="WW8Num1z2"/>
    <w:next w:val="907"/>
    <w:link w:val="894"/>
    <w:pPr>
      <w:pBdr/>
      <w:spacing/>
      <w:ind/>
    </w:pPr>
  </w:style>
  <w:style w:type="character" w:styleId="908">
    <w:name w:val="WW8Num1z3"/>
    <w:next w:val="908"/>
    <w:link w:val="894"/>
    <w:pPr>
      <w:pBdr/>
      <w:spacing/>
      <w:ind/>
    </w:pPr>
  </w:style>
  <w:style w:type="character" w:styleId="909">
    <w:name w:val="WW8Num1z4"/>
    <w:next w:val="909"/>
    <w:link w:val="894"/>
    <w:pPr>
      <w:pBdr/>
      <w:spacing/>
      <w:ind/>
    </w:pPr>
  </w:style>
  <w:style w:type="character" w:styleId="910">
    <w:name w:val="WW8Num1z5"/>
    <w:next w:val="910"/>
    <w:link w:val="894"/>
    <w:pPr>
      <w:pBdr/>
      <w:spacing/>
      <w:ind/>
    </w:pPr>
  </w:style>
  <w:style w:type="character" w:styleId="911">
    <w:name w:val="WW8Num1z6"/>
    <w:next w:val="911"/>
    <w:link w:val="894"/>
    <w:pPr>
      <w:pBdr/>
      <w:spacing/>
      <w:ind/>
    </w:pPr>
  </w:style>
  <w:style w:type="character" w:styleId="912">
    <w:name w:val="WW8Num1z7"/>
    <w:next w:val="912"/>
    <w:link w:val="894"/>
    <w:pPr>
      <w:pBdr/>
      <w:spacing/>
      <w:ind/>
    </w:pPr>
  </w:style>
  <w:style w:type="character" w:styleId="913">
    <w:name w:val="WW8Num1z8"/>
    <w:next w:val="913"/>
    <w:link w:val="894"/>
    <w:pPr>
      <w:pBdr/>
      <w:spacing/>
      <w:ind/>
    </w:pPr>
  </w:style>
  <w:style w:type="character" w:styleId="914">
    <w:name w:val="WW8Num3z0"/>
    <w:next w:val="914"/>
    <w:link w:val="894"/>
    <w:pPr>
      <w:pBdr/>
      <w:spacing/>
      <w:ind/>
    </w:pPr>
  </w:style>
  <w:style w:type="character" w:styleId="915">
    <w:name w:val="WW8Num3z1"/>
    <w:next w:val="915"/>
    <w:link w:val="894"/>
    <w:pPr>
      <w:pBdr/>
      <w:spacing/>
      <w:ind/>
    </w:pPr>
  </w:style>
  <w:style w:type="character" w:styleId="916">
    <w:name w:val="WW8Num3z2"/>
    <w:next w:val="916"/>
    <w:link w:val="894"/>
    <w:pPr>
      <w:pBdr/>
      <w:spacing/>
      <w:ind/>
    </w:pPr>
  </w:style>
  <w:style w:type="character" w:styleId="917">
    <w:name w:val="WW8Num3z3"/>
    <w:next w:val="917"/>
    <w:link w:val="894"/>
    <w:pPr>
      <w:pBdr/>
      <w:spacing/>
      <w:ind/>
    </w:pPr>
  </w:style>
  <w:style w:type="character" w:styleId="918">
    <w:name w:val="WW8Num3z4"/>
    <w:next w:val="918"/>
    <w:link w:val="894"/>
    <w:pPr>
      <w:pBdr/>
      <w:spacing/>
      <w:ind/>
    </w:pPr>
  </w:style>
  <w:style w:type="character" w:styleId="919">
    <w:name w:val="WW8Num3z5"/>
    <w:next w:val="919"/>
    <w:link w:val="894"/>
    <w:pPr>
      <w:pBdr/>
      <w:spacing/>
      <w:ind/>
    </w:pPr>
  </w:style>
  <w:style w:type="character" w:styleId="920">
    <w:name w:val="WW8Num3z6"/>
    <w:next w:val="920"/>
    <w:link w:val="894"/>
    <w:pPr>
      <w:pBdr/>
      <w:spacing/>
      <w:ind/>
    </w:pPr>
  </w:style>
  <w:style w:type="character" w:styleId="921">
    <w:name w:val="WW8Num3z7"/>
    <w:next w:val="921"/>
    <w:link w:val="894"/>
    <w:pPr>
      <w:pBdr/>
      <w:spacing/>
      <w:ind/>
    </w:pPr>
  </w:style>
  <w:style w:type="character" w:styleId="922">
    <w:name w:val="WW8Num3z8"/>
    <w:next w:val="922"/>
    <w:link w:val="894"/>
    <w:pPr>
      <w:pBdr/>
      <w:spacing/>
      <w:ind/>
    </w:pPr>
  </w:style>
  <w:style w:type="character" w:styleId="923">
    <w:name w:val="WW8Num4z0"/>
    <w:next w:val="923"/>
    <w:link w:val="894"/>
    <w:pPr>
      <w:pBdr/>
      <w:spacing/>
      <w:ind/>
    </w:pPr>
    <w:rPr>
      <w:b/>
      <w:i/>
      <w:sz w:val="24"/>
      <w:szCs w:val="24"/>
    </w:rPr>
  </w:style>
  <w:style w:type="character" w:styleId="924">
    <w:name w:val="WW8Num4z1"/>
    <w:next w:val="924"/>
    <w:link w:val="894"/>
    <w:pPr>
      <w:pBdr/>
      <w:spacing/>
      <w:ind/>
    </w:pPr>
  </w:style>
  <w:style w:type="character" w:styleId="925">
    <w:name w:val="WW8Num4z2"/>
    <w:next w:val="925"/>
    <w:link w:val="894"/>
    <w:pPr>
      <w:pBdr/>
      <w:spacing/>
      <w:ind/>
    </w:pPr>
  </w:style>
  <w:style w:type="character" w:styleId="926">
    <w:name w:val="WW8Num4z3"/>
    <w:next w:val="926"/>
    <w:link w:val="894"/>
    <w:pPr>
      <w:pBdr/>
      <w:spacing/>
      <w:ind/>
    </w:pPr>
  </w:style>
  <w:style w:type="character" w:styleId="927">
    <w:name w:val="WW8Num4z4"/>
    <w:next w:val="927"/>
    <w:link w:val="894"/>
    <w:pPr>
      <w:pBdr/>
      <w:spacing/>
      <w:ind/>
    </w:pPr>
  </w:style>
  <w:style w:type="character" w:styleId="928">
    <w:name w:val="WW8Num4z5"/>
    <w:next w:val="928"/>
    <w:link w:val="894"/>
    <w:pPr>
      <w:pBdr/>
      <w:spacing/>
      <w:ind/>
    </w:pPr>
  </w:style>
  <w:style w:type="character" w:styleId="929">
    <w:name w:val="WW8Num4z6"/>
    <w:next w:val="929"/>
    <w:link w:val="894"/>
    <w:pPr>
      <w:pBdr/>
      <w:spacing/>
      <w:ind/>
    </w:pPr>
  </w:style>
  <w:style w:type="character" w:styleId="930">
    <w:name w:val="WW8Num4z7"/>
    <w:next w:val="930"/>
    <w:link w:val="894"/>
    <w:pPr>
      <w:pBdr/>
      <w:spacing/>
      <w:ind/>
    </w:pPr>
  </w:style>
  <w:style w:type="character" w:styleId="931">
    <w:name w:val="WW8Num4z8"/>
    <w:next w:val="931"/>
    <w:link w:val="894"/>
    <w:pPr>
      <w:pBdr/>
      <w:spacing/>
      <w:ind/>
    </w:pPr>
  </w:style>
  <w:style w:type="character" w:styleId="932">
    <w:name w:val="WW8Num5z0"/>
    <w:next w:val="932"/>
    <w:link w:val="894"/>
    <w:pPr>
      <w:pBdr/>
      <w:spacing/>
      <w:ind/>
    </w:pPr>
    <w:rPr>
      <w:rFonts w:ascii="Symbol" w:hAnsi="Symbol" w:cs="Symbol"/>
    </w:rPr>
  </w:style>
  <w:style w:type="character" w:styleId="933">
    <w:name w:val="WW8Num5z1"/>
    <w:next w:val="933"/>
    <w:link w:val="894"/>
    <w:pPr>
      <w:pBdr/>
      <w:spacing/>
      <w:ind/>
    </w:pPr>
    <w:rPr>
      <w:rFonts w:ascii="Courier New" w:hAnsi="Courier New" w:cs="Courier New"/>
    </w:rPr>
  </w:style>
  <w:style w:type="character" w:styleId="934">
    <w:name w:val="WW8Num5z2"/>
    <w:next w:val="934"/>
    <w:link w:val="894"/>
    <w:pPr>
      <w:pBdr/>
      <w:spacing/>
      <w:ind/>
    </w:pPr>
    <w:rPr>
      <w:rFonts w:ascii="Wingdings" w:hAnsi="Wingdings" w:cs="Wingdings"/>
    </w:rPr>
  </w:style>
  <w:style w:type="character" w:styleId="935">
    <w:name w:val="WW8Num6z0"/>
    <w:next w:val="935"/>
    <w:link w:val="894"/>
    <w:pPr>
      <w:pBdr/>
      <w:spacing/>
      <w:ind/>
    </w:pPr>
  </w:style>
  <w:style w:type="character" w:styleId="936">
    <w:name w:val="WW8Num6z1"/>
    <w:next w:val="936"/>
    <w:link w:val="894"/>
    <w:pPr>
      <w:pBdr/>
      <w:spacing/>
      <w:ind/>
    </w:pPr>
  </w:style>
  <w:style w:type="character" w:styleId="937">
    <w:name w:val="WW8Num6z2"/>
    <w:next w:val="937"/>
    <w:link w:val="894"/>
    <w:pPr>
      <w:pBdr/>
      <w:spacing/>
      <w:ind/>
    </w:pPr>
  </w:style>
  <w:style w:type="character" w:styleId="938">
    <w:name w:val="WW8Num6z3"/>
    <w:next w:val="938"/>
    <w:link w:val="894"/>
    <w:pPr>
      <w:pBdr/>
      <w:spacing/>
      <w:ind/>
    </w:pPr>
  </w:style>
  <w:style w:type="character" w:styleId="939">
    <w:name w:val="WW8Num6z4"/>
    <w:next w:val="939"/>
    <w:link w:val="894"/>
    <w:pPr>
      <w:pBdr/>
      <w:spacing/>
      <w:ind/>
    </w:pPr>
  </w:style>
  <w:style w:type="character" w:styleId="940">
    <w:name w:val="WW8Num6z5"/>
    <w:next w:val="940"/>
    <w:link w:val="894"/>
    <w:pPr>
      <w:pBdr/>
      <w:spacing/>
      <w:ind/>
    </w:pPr>
  </w:style>
  <w:style w:type="character" w:styleId="941">
    <w:name w:val="WW8Num6z6"/>
    <w:next w:val="941"/>
    <w:link w:val="894"/>
    <w:pPr>
      <w:pBdr/>
      <w:spacing/>
      <w:ind/>
    </w:pPr>
  </w:style>
  <w:style w:type="character" w:styleId="942">
    <w:name w:val="WW8Num6z7"/>
    <w:next w:val="942"/>
    <w:link w:val="894"/>
    <w:pPr>
      <w:pBdr/>
      <w:spacing/>
      <w:ind/>
    </w:pPr>
  </w:style>
  <w:style w:type="character" w:styleId="943">
    <w:name w:val="WW8Num6z8"/>
    <w:next w:val="943"/>
    <w:link w:val="894"/>
    <w:pPr>
      <w:pBdr/>
      <w:spacing/>
      <w:ind/>
    </w:pPr>
  </w:style>
  <w:style w:type="character" w:styleId="944">
    <w:name w:val="WW8Num7z0"/>
    <w:next w:val="944"/>
    <w:link w:val="894"/>
    <w:pPr>
      <w:pBdr/>
      <w:spacing/>
      <w:ind/>
    </w:pPr>
  </w:style>
  <w:style w:type="character" w:styleId="945">
    <w:name w:val="WW8Num7z1"/>
    <w:next w:val="945"/>
    <w:link w:val="894"/>
    <w:pPr>
      <w:pBdr/>
      <w:spacing/>
      <w:ind/>
    </w:pPr>
  </w:style>
  <w:style w:type="character" w:styleId="946">
    <w:name w:val="WW8Num7z2"/>
    <w:next w:val="946"/>
    <w:link w:val="894"/>
    <w:pPr>
      <w:pBdr/>
      <w:spacing/>
      <w:ind/>
    </w:pPr>
  </w:style>
  <w:style w:type="character" w:styleId="947">
    <w:name w:val="WW8Num7z3"/>
    <w:next w:val="947"/>
    <w:link w:val="894"/>
    <w:pPr>
      <w:pBdr/>
      <w:spacing/>
      <w:ind/>
    </w:pPr>
  </w:style>
  <w:style w:type="character" w:styleId="948">
    <w:name w:val="WW8Num7z4"/>
    <w:next w:val="948"/>
    <w:link w:val="894"/>
    <w:pPr>
      <w:pBdr/>
      <w:spacing/>
      <w:ind/>
    </w:pPr>
  </w:style>
  <w:style w:type="character" w:styleId="949">
    <w:name w:val="WW8Num7z5"/>
    <w:next w:val="949"/>
    <w:link w:val="894"/>
    <w:pPr>
      <w:pBdr/>
      <w:spacing/>
      <w:ind/>
    </w:pPr>
  </w:style>
  <w:style w:type="character" w:styleId="950">
    <w:name w:val="WW8Num7z6"/>
    <w:next w:val="950"/>
    <w:link w:val="894"/>
    <w:pPr>
      <w:pBdr/>
      <w:spacing/>
      <w:ind/>
    </w:pPr>
  </w:style>
  <w:style w:type="character" w:styleId="951">
    <w:name w:val="WW8Num7z7"/>
    <w:next w:val="951"/>
    <w:link w:val="894"/>
    <w:pPr>
      <w:pBdr/>
      <w:spacing/>
      <w:ind/>
    </w:pPr>
  </w:style>
  <w:style w:type="character" w:styleId="952">
    <w:name w:val="WW8Num7z8"/>
    <w:next w:val="952"/>
    <w:link w:val="894"/>
    <w:pPr>
      <w:pBdr/>
      <w:spacing/>
      <w:ind/>
    </w:pPr>
  </w:style>
  <w:style w:type="character" w:styleId="953">
    <w:name w:val="WW8Num8z0"/>
    <w:next w:val="953"/>
    <w:link w:val="894"/>
    <w:pPr>
      <w:pBdr/>
      <w:spacing/>
      <w:ind/>
    </w:pPr>
  </w:style>
  <w:style w:type="character" w:styleId="954">
    <w:name w:val="WW8Num8z1"/>
    <w:next w:val="954"/>
    <w:link w:val="894"/>
    <w:pPr>
      <w:pBdr/>
      <w:spacing/>
      <w:ind/>
    </w:pPr>
  </w:style>
  <w:style w:type="character" w:styleId="955">
    <w:name w:val="WW8Num8z2"/>
    <w:next w:val="955"/>
    <w:link w:val="894"/>
    <w:pPr>
      <w:pBdr/>
      <w:spacing/>
      <w:ind/>
    </w:pPr>
  </w:style>
  <w:style w:type="character" w:styleId="956">
    <w:name w:val="WW8Num8z3"/>
    <w:next w:val="956"/>
    <w:link w:val="894"/>
    <w:pPr>
      <w:pBdr/>
      <w:spacing/>
      <w:ind/>
    </w:pPr>
  </w:style>
  <w:style w:type="character" w:styleId="957">
    <w:name w:val="WW8Num8z4"/>
    <w:next w:val="957"/>
    <w:link w:val="894"/>
    <w:pPr>
      <w:pBdr/>
      <w:spacing/>
      <w:ind/>
    </w:pPr>
  </w:style>
  <w:style w:type="character" w:styleId="958">
    <w:name w:val="WW8Num8z5"/>
    <w:next w:val="958"/>
    <w:link w:val="894"/>
    <w:pPr>
      <w:pBdr/>
      <w:spacing/>
      <w:ind/>
    </w:pPr>
  </w:style>
  <w:style w:type="character" w:styleId="959">
    <w:name w:val="WW8Num8z6"/>
    <w:next w:val="959"/>
    <w:link w:val="894"/>
    <w:pPr>
      <w:pBdr/>
      <w:spacing/>
      <w:ind/>
    </w:pPr>
  </w:style>
  <w:style w:type="character" w:styleId="960">
    <w:name w:val="WW8Num8z7"/>
    <w:next w:val="960"/>
    <w:link w:val="894"/>
    <w:pPr>
      <w:pBdr/>
      <w:spacing/>
      <w:ind/>
    </w:pPr>
  </w:style>
  <w:style w:type="character" w:styleId="961">
    <w:name w:val="WW8Num8z8"/>
    <w:next w:val="961"/>
    <w:link w:val="894"/>
    <w:pPr>
      <w:pBdr/>
      <w:spacing/>
      <w:ind/>
    </w:pPr>
  </w:style>
  <w:style w:type="character" w:styleId="962">
    <w:name w:val="WW8Num9z0"/>
    <w:next w:val="962"/>
    <w:link w:val="894"/>
    <w:pPr>
      <w:pBdr/>
      <w:spacing/>
      <w:ind/>
    </w:pPr>
    <w:rPr>
      <w:b w:val="0"/>
    </w:rPr>
  </w:style>
  <w:style w:type="character" w:styleId="963">
    <w:name w:val="WW8Num9z1"/>
    <w:next w:val="963"/>
    <w:link w:val="894"/>
    <w:pPr>
      <w:pBdr/>
      <w:spacing/>
      <w:ind/>
    </w:pPr>
  </w:style>
  <w:style w:type="character" w:styleId="964">
    <w:name w:val="WW8Num9z2"/>
    <w:next w:val="964"/>
    <w:link w:val="894"/>
    <w:pPr>
      <w:pBdr/>
      <w:spacing/>
      <w:ind/>
    </w:pPr>
  </w:style>
  <w:style w:type="character" w:styleId="965">
    <w:name w:val="WW8Num9z3"/>
    <w:next w:val="965"/>
    <w:link w:val="894"/>
    <w:pPr>
      <w:pBdr/>
      <w:spacing/>
      <w:ind/>
    </w:pPr>
  </w:style>
  <w:style w:type="character" w:styleId="966">
    <w:name w:val="WW8Num9z4"/>
    <w:next w:val="966"/>
    <w:link w:val="894"/>
    <w:pPr>
      <w:pBdr/>
      <w:spacing/>
      <w:ind/>
    </w:pPr>
  </w:style>
  <w:style w:type="character" w:styleId="967">
    <w:name w:val="WW8Num9z5"/>
    <w:next w:val="967"/>
    <w:link w:val="894"/>
    <w:pPr>
      <w:pBdr/>
      <w:spacing/>
      <w:ind/>
    </w:pPr>
  </w:style>
  <w:style w:type="character" w:styleId="968">
    <w:name w:val="WW8Num9z6"/>
    <w:next w:val="968"/>
    <w:link w:val="894"/>
    <w:pPr>
      <w:pBdr/>
      <w:spacing/>
      <w:ind/>
    </w:pPr>
  </w:style>
  <w:style w:type="character" w:styleId="969">
    <w:name w:val="WW8Num9z7"/>
    <w:next w:val="969"/>
    <w:link w:val="894"/>
    <w:pPr>
      <w:pBdr/>
      <w:spacing/>
      <w:ind/>
    </w:pPr>
  </w:style>
  <w:style w:type="character" w:styleId="970">
    <w:name w:val="WW8Num9z8"/>
    <w:next w:val="970"/>
    <w:link w:val="894"/>
    <w:pPr>
      <w:pBdr/>
      <w:spacing/>
      <w:ind/>
    </w:pPr>
  </w:style>
  <w:style w:type="character" w:styleId="971">
    <w:name w:val="Domyślna czcionka akapitu1"/>
    <w:next w:val="971"/>
    <w:link w:val="894"/>
    <w:pPr>
      <w:pBdr/>
      <w:spacing/>
      <w:ind/>
    </w:pPr>
  </w:style>
  <w:style w:type="character" w:styleId="972">
    <w:name w:val="Tekst przypisu końcowego Znak"/>
    <w:next w:val="972"/>
    <w:link w:val="894"/>
    <w:pPr>
      <w:pBdr/>
      <w:spacing/>
      <w:ind/>
    </w:pPr>
    <w:rPr>
      <w:sz w:val="20"/>
      <w:szCs w:val="20"/>
    </w:rPr>
  </w:style>
  <w:style w:type="character" w:styleId="973">
    <w:name w:val="Znaki przypisów końcowych"/>
    <w:next w:val="973"/>
    <w:link w:val="894"/>
    <w:pPr>
      <w:pBdr/>
      <w:spacing/>
      <w:ind/>
    </w:pPr>
    <w:rPr>
      <w:vertAlign w:val="superscript"/>
    </w:rPr>
  </w:style>
  <w:style w:type="character" w:styleId="974">
    <w:name w:val="Tekst dymka Znak"/>
    <w:next w:val="974"/>
    <w:link w:val="894"/>
    <w:pPr>
      <w:pBdr/>
      <w:spacing/>
      <w:ind/>
    </w:pPr>
    <w:rPr>
      <w:rFonts w:ascii="Tahoma" w:hAnsi="Tahoma" w:cs="Tahoma"/>
      <w:sz w:val="16"/>
      <w:szCs w:val="16"/>
    </w:rPr>
  </w:style>
  <w:style w:type="character" w:styleId="975">
    <w:name w:val="Łącze internetowe"/>
    <w:next w:val="975"/>
    <w:link w:val="894"/>
    <w:pPr>
      <w:pBdr/>
      <w:spacing/>
      <w:ind/>
    </w:pPr>
    <w:rPr>
      <w:color w:val="0000ff"/>
      <w:u w:val="single"/>
    </w:rPr>
  </w:style>
  <w:style w:type="character" w:styleId="976">
    <w:name w:val="Odwołanie do komentarza1"/>
    <w:next w:val="976"/>
    <w:link w:val="894"/>
    <w:pPr>
      <w:pBdr/>
      <w:spacing/>
      <w:ind/>
    </w:pPr>
    <w:rPr>
      <w:sz w:val="16"/>
      <w:szCs w:val="16"/>
    </w:rPr>
  </w:style>
  <w:style w:type="character" w:styleId="977">
    <w:name w:val="Tekst komentarza Znak"/>
    <w:next w:val="977"/>
    <w:link w:val="894"/>
    <w:pPr>
      <w:pBdr/>
      <w:spacing/>
      <w:ind/>
    </w:pPr>
  </w:style>
  <w:style w:type="character" w:styleId="978">
    <w:name w:val="Temat komentarza Znak"/>
    <w:next w:val="978"/>
    <w:link w:val="894"/>
    <w:pPr>
      <w:pBdr/>
      <w:spacing/>
      <w:ind/>
    </w:pPr>
    <w:rPr>
      <w:b/>
      <w:bCs/>
    </w:rPr>
  </w:style>
  <w:style w:type="paragraph" w:styleId="979">
    <w:name w:val="Nagłówek"/>
    <w:basedOn w:val="894"/>
    <w:next w:val="980"/>
    <w:link w:val="894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80">
    <w:name w:val="Treść tekstu"/>
    <w:basedOn w:val="894"/>
    <w:next w:val="980"/>
    <w:link w:val="894"/>
    <w:pPr>
      <w:pBdr/>
      <w:spacing w:after="120" w:before="0"/>
      <w:ind/>
    </w:pPr>
  </w:style>
  <w:style w:type="paragraph" w:styleId="981">
    <w:name w:val="Lista"/>
    <w:basedOn w:val="980"/>
    <w:next w:val="981"/>
    <w:link w:val="894"/>
    <w:pPr>
      <w:pBdr/>
      <w:spacing/>
      <w:ind/>
    </w:pPr>
    <w:rPr>
      <w:rFonts w:cs="Mangal"/>
    </w:rPr>
  </w:style>
  <w:style w:type="paragraph" w:styleId="982">
    <w:name w:val="Podpis"/>
    <w:basedOn w:val="894"/>
    <w:next w:val="982"/>
    <w:link w:val="894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83">
    <w:name w:val="Indeks"/>
    <w:basedOn w:val="894"/>
    <w:next w:val="983"/>
    <w:link w:val="894"/>
    <w:pPr>
      <w:suppressLineNumbers w:val="true"/>
      <w:pBdr/>
      <w:spacing/>
      <w:ind/>
    </w:pPr>
    <w:rPr>
      <w:rFonts w:cs="Mangal"/>
    </w:rPr>
  </w:style>
  <w:style w:type="paragraph" w:styleId="984">
    <w:name w:val="Nagłówek1"/>
    <w:basedOn w:val="894"/>
    <w:next w:val="980"/>
    <w:link w:val="894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85">
    <w:name w:val="Podpis1"/>
    <w:basedOn w:val="894"/>
    <w:next w:val="985"/>
    <w:link w:val="894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86">
    <w:name w:val="Przypis końcowy"/>
    <w:basedOn w:val="894"/>
    <w:next w:val="986"/>
    <w:link w:val="894"/>
    <w:pPr>
      <w:pBdr/>
      <w:spacing w:after="0" w:before="0" w:line="240" w:lineRule="auto"/>
      <w:ind/>
    </w:pPr>
    <w:rPr>
      <w:sz w:val="20"/>
      <w:szCs w:val="20"/>
    </w:rPr>
  </w:style>
  <w:style w:type="paragraph" w:styleId="987">
    <w:name w:val="Akapit z listą"/>
    <w:basedOn w:val="894"/>
    <w:next w:val="987"/>
    <w:link w:val="894"/>
    <w:pPr>
      <w:pBdr/>
      <w:spacing/>
      <w:ind w:right="0" w:firstLine="0" w:left="720"/>
    </w:pPr>
  </w:style>
  <w:style w:type="paragraph" w:styleId="988">
    <w:name w:val="Tekst dymka"/>
    <w:basedOn w:val="894"/>
    <w:next w:val="988"/>
    <w:link w:val="894"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989">
    <w:name w:val="Tekst komentarza1"/>
    <w:basedOn w:val="894"/>
    <w:next w:val="989"/>
    <w:link w:val="894"/>
    <w:pPr>
      <w:pBdr/>
      <w:spacing/>
      <w:ind/>
    </w:pPr>
    <w:rPr>
      <w:sz w:val="20"/>
      <w:szCs w:val="20"/>
    </w:rPr>
  </w:style>
  <w:style w:type="paragraph" w:styleId="990">
    <w:name w:val="Temat komentarza"/>
    <w:basedOn w:val="989"/>
    <w:next w:val="989"/>
    <w:link w:val="894"/>
    <w:pPr>
      <w:pBdr/>
      <w:spacing/>
      <w:ind/>
    </w:pPr>
    <w:rPr>
      <w:b/>
      <w:bCs/>
    </w:rPr>
  </w:style>
  <w:style w:type="paragraph" w:styleId="991">
    <w:name w:val="Zawartość tabeli"/>
    <w:basedOn w:val="894"/>
    <w:next w:val="991"/>
    <w:link w:val="894"/>
    <w:pPr>
      <w:suppressLineNumbers w:val="true"/>
      <w:pBdr/>
      <w:spacing/>
      <w:ind/>
    </w:pPr>
  </w:style>
  <w:style w:type="paragraph" w:styleId="992">
    <w:name w:val="Nagłówek tabeli"/>
    <w:basedOn w:val="991"/>
    <w:next w:val="992"/>
    <w:link w:val="894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revision>9</cp:revision>
  <dcterms:created xsi:type="dcterms:W3CDTF">2022-05-23T11:31:00Z</dcterms:created>
  <dcterms:modified xsi:type="dcterms:W3CDTF">2026-01-13T09:31:55Z</dcterms:modified>
</cp:coreProperties>
</file>