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>
      <v:fill opacity="0f"/>
    </v:background>
  </w:background>
  <w:body>
    <w:p>
      <w:pPr>
        <w:pStyle w:val="666"/>
        <w:pBdr/>
        <w:spacing/>
        <w:ind w:right="0" w:left="13170"/>
        <w:rPr>
          <w:sz w:val="22"/>
          <w:szCs w:val="22"/>
        </w:rPr>
      </w:pPr>
      <w:r>
        <w:rPr>
          <w:sz w:val="22"/>
          <w:szCs w:val="22"/>
        </w:rPr>
        <w:t xml:space="preserve">Załącznik do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66"/>
        <w:pBdr/>
        <w:spacing/>
        <w:ind w:right="0" w:left="13170"/>
        <w:rPr>
          <w:sz w:val="22"/>
          <w:szCs w:val="22"/>
        </w:rPr>
      </w:pPr>
      <w:r>
        <w:rPr>
          <w:sz w:val="22"/>
          <w:szCs w:val="22"/>
        </w:rPr>
        <w:t xml:space="preserve">Zarządzenia Nr  15/IX/2026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66"/>
        <w:pBdr/>
        <w:spacing/>
        <w:ind w:right="0" w:left="13170"/>
        <w:rPr>
          <w:sz w:val="22"/>
          <w:szCs w:val="22"/>
        </w:rPr>
      </w:pPr>
      <w:r>
        <w:rPr>
          <w:sz w:val="22"/>
          <w:szCs w:val="22"/>
        </w:rPr>
        <w:t xml:space="preserve">Wójta Gminy Braniewo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66"/>
        <w:pBdr/>
        <w:spacing/>
        <w:ind w:right="0" w:left="13170"/>
        <w:rPr>
          <w:sz w:val="22"/>
          <w:szCs w:val="22"/>
        </w:rPr>
      </w:pPr>
      <w:r>
        <w:rPr>
          <w:sz w:val="22"/>
          <w:szCs w:val="22"/>
        </w:rPr>
        <w:t xml:space="preserve">z dnia  23 lutego 2026 r.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66"/>
        <w:pBdr/>
        <w:spacing/>
        <w:ind w:right="0" w:left="1317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69"/>
        <w:numPr>
          <w:ilvl w:val="4"/>
          <w:numId w:val="1"/>
        </w:numPr>
        <w:pBdr/>
        <w:spacing/>
        <w:ind w:right="0" w:firstLine="0"/>
        <w:jc w:val="right"/>
        <w:rPr>
          <w:b/>
          <w:sz w:val="22"/>
          <w:szCs w:val="22"/>
        </w:rPr>
      </w:pPr>
      <w:r>
        <w:rPr>
          <w:sz w:val="22"/>
          <w:szCs w:val="22"/>
        </w:rPr>
        <w:t xml:space="preserve">Braniewo, dnia 23 lutego 2026 r.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669"/>
        <w:numPr>
          <w:ilvl w:val="4"/>
          <w:numId w:val="1"/>
        </w:numPr>
        <w:pBdr/>
        <w:spacing/>
        <w:ind w:righ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669"/>
        <w:numPr>
          <w:ilvl w:val="4"/>
          <w:numId w:val="1"/>
        </w:numPr>
        <w:pBdr/>
        <w:spacing/>
        <w:ind w:righ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669"/>
        <w:numPr>
          <w:ilvl w:val="4"/>
          <w:numId w:val="1"/>
        </w:numPr>
        <w:pBdr/>
        <w:spacing/>
        <w:ind w:righ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669"/>
        <w:numPr>
          <w:ilvl w:val="4"/>
          <w:numId w:val="1"/>
        </w:numPr>
        <w:pBdr/>
        <w:spacing/>
        <w:ind w:right="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W Y K A Z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pStyle w:val="669"/>
        <w:numPr>
          <w:ilvl w:val="4"/>
          <w:numId w:val="1"/>
        </w:numPr>
        <w:pBdr/>
        <w:spacing/>
        <w:ind w:right="0"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NIERUCHOMOŚCI PRZEZNACZONYCH DO </w:t>
      </w:r>
      <w:r>
        <w:rPr>
          <w:b/>
          <w:sz w:val="22"/>
          <w:szCs w:val="22"/>
        </w:rPr>
        <w:t xml:space="preserve">NAJMU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68"/>
        <w:numPr>
          <w:ilvl w:val="1"/>
          <w:numId w:val="1"/>
        </w:numPr>
        <w:pBdr/>
        <w:spacing/>
        <w:ind w:right="0" w:firstLine="0" w:left="0"/>
        <w:jc w:val="center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66"/>
        <w:pBdr/>
        <w:spacing/>
        <w:ind w:right="0" w:left="284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Wójt Gminy Braniewo działając na podstawie art. 35 ust. 1 i 2 ustawy z dnia 21 sierpnia 1997 r. o gospodarce nieruchomościami </w:t>
      </w:r>
      <w:r>
        <w:rPr>
          <w:i/>
          <w:iCs/>
          <w:sz w:val="22"/>
          <w:szCs w:val="22"/>
        </w:rPr>
        <w:t xml:space="preserve">(t.j. Dz. U. z 2024 r.,poz. 1145 ze zm.),</w:t>
      </w:r>
      <w:r>
        <w:rPr>
          <w:sz w:val="22"/>
          <w:szCs w:val="22"/>
        </w:rPr>
        <w:t xml:space="preserve"> podaje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do publicznej wiadomości wykaz nieruchomości stanowiących mienie komunalne Gminy Braniewo, przeznaczonych do najmu w trybie bezprzetargowym.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66"/>
        <w:pBdr/>
        <w:spacing/>
        <w:ind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66"/>
        <w:pBdr/>
        <w:spacing/>
        <w:ind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jc w:val="center"/>
        <w:tblInd w:w="0" w:type="dxa"/>
        <w:tblW w:w="0" w:type="auto"/>
        <w:tblCellMar>
          <w:left w:w="70" w:type="dxa"/>
          <w:top w:w="0" w:type="dxa"/>
          <w:right w:w="70" w:type="dxa"/>
          <w:bottom w:w="0" w:type="dxa"/>
        </w:tblCellMar>
        <w:tblBorders/>
        <w:tblLayout w:type="fixed"/>
        <w:tblLook w:val="04A0" w:firstRow="1" w:lastRow="0" w:firstColumn="1" w:lastColumn="0" w:noHBand="0" w:noVBand="1"/>
      </w:tblPr>
      <w:tblGrid>
        <w:gridCol w:w="475"/>
        <w:gridCol w:w="1398"/>
        <w:gridCol w:w="1847"/>
        <w:gridCol w:w="1657"/>
        <w:gridCol w:w="800"/>
        <w:gridCol w:w="4462"/>
        <w:gridCol w:w="1984"/>
        <w:gridCol w:w="1319"/>
        <w:gridCol w:w="1421"/>
      </w:tblGrid>
      <w:tr>
        <w:trPr>
          <w:trHeight w:val="1152"/>
        </w:trPr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Lp.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Położenie nieruchomości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Oznaczenie nieruchomości</w:t>
              <w:br w:type="textWrapping" w:clear="all"/>
              <w:t xml:space="preserve">w ewidencji gruntów</w:t>
              <w:br w:type="textWrapping" w:clear="all"/>
              <w:t xml:space="preserve">i budynków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pStyle w:val="666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Oznaczenie nieruchomości według księgi wieczystej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Pow.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pStyle w:val="666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w ha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Opis, przeznaczenie i sposób zagospodarowania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pStyle w:val="666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nieruchomości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7"/>
              <w:numPr>
                <w:ilvl w:val="0"/>
                <w:numId w:val="0"/>
              </w:numPr>
              <w:pBdr/>
              <w:spacing/>
              <w:ind w:right="0" w:firstLine="0" w:left="0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Wysokość czynszu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Waloryzacja czynszu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pStyle w:val="667"/>
              <w:numPr>
                <w:ilvl w:val="0"/>
                <w:numId w:val="0"/>
              </w:numPr>
              <w:pBdr/>
              <w:spacing/>
              <w:ind w:right="0" w:firstLine="0" w:left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Termin płatności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pStyle w:val="692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</w:tr>
      <w:tr>
        <w:trPr>
          <w:trHeight w:val="14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lef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666"/>
              <w:pBdr/>
              <w:spacing/>
              <w:ind/>
              <w:jc w:val="lef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Brzeszczyny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666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gm. Braniewo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dz. nr   376/36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</w:r>
          </w:p>
          <w:p>
            <w:pPr>
              <w:pStyle w:val="666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obr.  Szyleny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  <w:t xml:space="preserve">EL1B/00014664/3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95"/>
              <w:pBdr/>
              <w:spacing w:line="252" w:lineRule="auto"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0,1100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lef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Segment o pow. 17 m</w:t>
            </w:r>
            <w:r>
              <w:rPr>
                <w:rFonts w:ascii="Calibri" w:hAnsi="Calibri" w:eastAsia="Times New Roman" w:cs="Calibri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 w budynku gospodarczym wielosegmentowym  wraz z udziałem 1/3 w nieruchomości  nim zabudowanym położonej w miejscowości Brzeszczyny.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  <w:t xml:space="preserve">Ustalona zgodnie z Zarządzeniem Wójta Gminy Braniewo z dnia 31.12.2020,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666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  <w:t xml:space="preserve">Nr 79/VIII/2020 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666"/>
              <w:pBdr/>
              <w:spacing/>
              <w:ind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  <w:t xml:space="preserve">na kwotę                            </w:t>
            </w: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strike w:val="0"/>
                <w:color w:val="000000"/>
                <w:sz w:val="20"/>
                <w:szCs w:val="20"/>
                <w:u w:val="none"/>
              </w:rPr>
              <w:t xml:space="preserve">42,93 zł (rocznie) najem bud. gosp. 41,82 zł (miesięcznie)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Corocznie o 3%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pStyle w:val="666"/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trike w:val="0"/>
                <w:color w:val="000000"/>
                <w:sz w:val="22"/>
                <w:szCs w:val="22"/>
                <w:u w:val="none"/>
              </w:rPr>
              <w:t xml:space="preserve">Corocznie do 31 marca</w:t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693"/>
        <w:pBdr/>
        <w:spacing w:after="0" w:before="0"/>
        <w:ind w:right="0" w:left="0"/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none"/>
        </w:rPr>
        <w:t xml:space="preserve">    </w:t>
      </w:r>
      <w:r>
        <w:rPr>
          <w:b/>
          <w:bCs/>
          <w:sz w:val="22"/>
          <w:szCs w:val="22"/>
          <w:u w:val="none"/>
        </w:rPr>
        <w:t xml:space="preserve">Do  ceny najmu/ dzierżawy  nieruchomości  doliczony został  podatek VAT w wysokości 23%.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93"/>
        <w:pBdr/>
        <w:spacing/>
        <w:ind w:right="0" w:hanging="15"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Wykaz podaje się do publicznej wiadomości poprzez wywieszenie na tablicy ogłoszeń Urzędu Gminy Braniewo, zamieszczenie na stronie internetowej Gminy Braniewo, pod adresem: 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"http://www.gminabraniewo.pl/"</w:instrText>
      </w:r>
      <w:r>
        <w:rPr>
          <w:sz w:val="22"/>
          <w:szCs w:val="22"/>
        </w:rPr>
        <w:fldChar w:fldCharType="separate"/>
      </w:r>
      <w:r>
        <w:rPr>
          <w:rStyle w:val="682"/>
          <w:sz w:val="22"/>
          <w:szCs w:val="22"/>
          <w:u w:val="none"/>
        </w:rPr>
        <w:t xml:space="preserve">http://www.gminabraniewo.pl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oraz w Biuletynie Informacji Publicznej Gminy Braniewo, pod adresem: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"https://bipbraniewo.warmia.mazury.pl/"</w:instrText>
      </w:r>
      <w:r>
        <w:rPr>
          <w:sz w:val="22"/>
          <w:szCs w:val="22"/>
        </w:rPr>
        <w:fldChar w:fldCharType="separate"/>
      </w:r>
      <w:r>
        <w:rPr>
          <w:rStyle w:val="682"/>
          <w:sz w:val="22"/>
          <w:szCs w:val="22"/>
          <w:u w:val="none"/>
          <w:lang w:val="pl-PL" w:eastAsia="ar-SA" w:bidi="ar-SA"/>
        </w:rPr>
        <w:t xml:space="preserve">https://bipbraniewo.warmia.mazury.pl/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na okres 21 dni 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93"/>
        <w:pBdr/>
        <w:spacing/>
        <w:ind w:right="0" w:hanging="15" w:left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Informację o zamieszczeniu wykazu podaje się do publicznej wiadomości w prasie lokalnej.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666"/>
        <w:pBdr/>
        <w:spacing/>
        <w:ind w:right="0" w:left="284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Informacje: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666"/>
        <w:pBdr/>
        <w:spacing/>
        <w:ind w:right="0" w:left="284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Gmina Braniewo- Renata Kozińska, tel. 55-644-0318, e-mail: administracja@gminabraniewo.pl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sectPr>
      <w:footnotePr>
        <w:numFmt w:val="decimal"/>
        <w:numRestart w:val="continuous"/>
      </w:footnotePr>
      <w:endnotePr>
        <w:numFmt w:val="lowerRoman"/>
      </w:endnotePr>
      <w:type w:val="nextPage"/>
      <w:pgSz w:h="11906" w:orient="landscape" w:w="16838"/>
      <w:pgMar w:top="678" w:right="719" w:bottom="480" w:left="360" w:header="709" w:footer="709" w:gutter="0"/>
      <w:pgNumType w:fmt="none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iberation Sans">
    <w:panose1 w:val="020B0604020202020204"/>
  </w:font>
  <w:font w:name="Mangal">
    <w:panose1 w:val="02040503050406030204"/>
  </w:font>
  <w:font w:name="OpenSymbol">
    <w:panose1 w:val="05010000000000000000"/>
  </w:font>
  <w:font w:name="Microsoft YaHei">
    <w:panose1 w:val="020B050302020402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667"/>
      <w:rPr/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668"/>
      <w:rPr/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720" w:left="720"/>
      </w:pPr>
      <w:rPr/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864" w:left="864"/>
      </w:pPr>
      <w:rPr/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669"/>
      <w:rPr/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152" w:left="1152"/>
      </w:pPr>
      <w:rPr/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296" w:left="1296"/>
      </w:pPr>
      <w:rPr/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440" w:left="1440"/>
      </w:pPr>
      <w:rPr/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hanging="1584" w:left="1584"/>
      </w:pPr>
      <w:rPr/>
      <w:start w:val="1"/>
      <w:suff w:val="nothing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3"/>
    <w:basedOn w:val="666"/>
    <w:next w:val="666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6"/>
    <w:next w:val="666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4">
    <w:name w:val="Heading 6"/>
    <w:basedOn w:val="666"/>
    <w:next w:val="66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6"/>
    <w:next w:val="666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6"/>
    <w:next w:val="666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6"/>
    <w:next w:val="666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66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6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6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6"/>
    <w:next w:val="666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6"/>
    <w:next w:val="666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6"/>
    <w:next w:val="666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666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6"/>
    <w:next w:val="666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666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6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6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1">
    <w:name w:val="footnote text"/>
    <w:basedOn w:val="666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6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6"/>
    <w:next w:val="666"/>
    <w:uiPriority w:val="39"/>
    <w:unhideWhenUsed/>
    <w:pPr>
      <w:pBdr/>
      <w:spacing w:after="100"/>
      <w:ind/>
    </w:pPr>
  </w:style>
  <w:style w:type="paragraph" w:styleId="190">
    <w:name w:val="toc 2"/>
    <w:basedOn w:val="666"/>
    <w:next w:val="666"/>
    <w:uiPriority w:val="39"/>
    <w:unhideWhenUsed/>
    <w:pPr>
      <w:pBdr/>
      <w:spacing w:after="100"/>
      <w:ind w:left="220"/>
    </w:pPr>
  </w:style>
  <w:style w:type="paragraph" w:styleId="191">
    <w:name w:val="toc 3"/>
    <w:basedOn w:val="666"/>
    <w:next w:val="666"/>
    <w:uiPriority w:val="39"/>
    <w:unhideWhenUsed/>
    <w:pPr>
      <w:pBdr/>
      <w:spacing w:after="100"/>
      <w:ind w:left="440"/>
    </w:pPr>
  </w:style>
  <w:style w:type="paragraph" w:styleId="192">
    <w:name w:val="toc 4"/>
    <w:basedOn w:val="666"/>
    <w:next w:val="666"/>
    <w:uiPriority w:val="39"/>
    <w:unhideWhenUsed/>
    <w:pPr>
      <w:pBdr/>
      <w:spacing w:after="100"/>
      <w:ind w:left="660"/>
    </w:pPr>
  </w:style>
  <w:style w:type="paragraph" w:styleId="193">
    <w:name w:val="toc 5"/>
    <w:basedOn w:val="666"/>
    <w:next w:val="666"/>
    <w:uiPriority w:val="39"/>
    <w:unhideWhenUsed/>
    <w:pPr>
      <w:pBdr/>
      <w:spacing w:after="100"/>
      <w:ind w:left="880"/>
    </w:pPr>
  </w:style>
  <w:style w:type="paragraph" w:styleId="194">
    <w:name w:val="toc 6"/>
    <w:basedOn w:val="666"/>
    <w:next w:val="666"/>
    <w:uiPriority w:val="39"/>
    <w:unhideWhenUsed/>
    <w:pPr>
      <w:pBdr/>
      <w:spacing w:after="100"/>
      <w:ind w:left="1100"/>
    </w:pPr>
  </w:style>
  <w:style w:type="paragraph" w:styleId="195">
    <w:name w:val="toc 7"/>
    <w:basedOn w:val="666"/>
    <w:next w:val="666"/>
    <w:uiPriority w:val="39"/>
    <w:unhideWhenUsed/>
    <w:pPr>
      <w:pBdr/>
      <w:spacing w:after="100"/>
      <w:ind w:left="1320"/>
    </w:pPr>
  </w:style>
  <w:style w:type="paragraph" w:styleId="196">
    <w:name w:val="toc 8"/>
    <w:basedOn w:val="666"/>
    <w:next w:val="666"/>
    <w:uiPriority w:val="39"/>
    <w:unhideWhenUsed/>
    <w:pPr>
      <w:pBdr/>
      <w:spacing w:after="100"/>
      <w:ind w:left="1540"/>
    </w:pPr>
  </w:style>
  <w:style w:type="paragraph" w:styleId="197">
    <w:name w:val="toc 9"/>
    <w:basedOn w:val="666"/>
    <w:next w:val="666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6"/>
    <w:next w:val="666"/>
    <w:uiPriority w:val="99"/>
    <w:unhideWhenUsed/>
    <w:pPr>
      <w:pBdr/>
      <w:spacing w:after="0" w:afterAutospacing="0"/>
      <w:ind/>
    </w:pPr>
  </w:style>
  <w:style w:type="table" w:styleId="665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66" w:default="1">
    <w:name w:val="Normal"/>
    <w:next w:val="666"/>
    <w:link w:val="666"/>
    <w:pPr>
      <w:widowControl w:val="true"/>
      <w:pBdr/>
      <w:bidi w:val="false"/>
      <w:spacing/>
      <w:ind/>
    </w:pPr>
    <w:rPr>
      <w:rFonts w:ascii="Times New Roman" w:hAnsi="Times New Roman" w:eastAsia="Times New Roman" w:cs="Times New Roman"/>
      <w:color w:val="auto"/>
      <w:sz w:val="20"/>
      <w:szCs w:val="20"/>
      <w:lang w:val="pl-PL" w:eastAsia="zh-CN" w:bidi="ar-SA"/>
    </w:rPr>
  </w:style>
  <w:style w:type="paragraph" w:styleId="667">
    <w:name w:val="Heading 1"/>
    <w:basedOn w:val="666"/>
    <w:next w:val="666"/>
    <w:link w:val="666"/>
    <w:pPr>
      <w:keepNext w:val="true"/>
      <w:numPr>
        <w:ilvl w:val="0"/>
        <w:numId w:val="1"/>
      </w:numPr>
      <w:pBdr/>
      <w:spacing/>
      <w:ind/>
      <w:jc w:val="center"/>
      <w:outlineLvl w:val="0"/>
    </w:pPr>
    <w:rPr>
      <w:sz w:val="24"/>
    </w:rPr>
  </w:style>
  <w:style w:type="paragraph" w:styleId="668">
    <w:name w:val="Heading 2"/>
    <w:basedOn w:val="666"/>
    <w:next w:val="666"/>
    <w:link w:val="666"/>
    <w:pPr>
      <w:keepNext w:val="true"/>
      <w:numPr>
        <w:ilvl w:val="1"/>
        <w:numId w:val="1"/>
      </w:numPr>
      <w:pBdr/>
      <w:spacing/>
      <w:ind/>
      <w:outlineLvl w:val="1"/>
    </w:pPr>
    <w:rPr>
      <w:sz w:val="24"/>
    </w:rPr>
  </w:style>
  <w:style w:type="paragraph" w:styleId="669">
    <w:name w:val="Heading 5"/>
    <w:basedOn w:val="666"/>
    <w:next w:val="666"/>
    <w:link w:val="666"/>
    <w:pPr>
      <w:keepNext w:val="true"/>
      <w:numPr>
        <w:ilvl w:val="4"/>
        <w:numId w:val="1"/>
      </w:numPr>
      <w:pBdr/>
      <w:spacing/>
      <w:ind w:right="0" w:firstLine="7513" w:left="0"/>
      <w:outlineLvl w:val="4"/>
    </w:pPr>
    <w:rPr>
      <w:sz w:val="24"/>
    </w:rPr>
  </w:style>
  <w:style w:type="character" w:styleId="670">
    <w:name w:val="Domyślna czcionka akapitu"/>
    <w:next w:val="670"/>
    <w:link w:val="666"/>
    <w:pPr>
      <w:pBdr/>
      <w:spacing/>
      <w:ind/>
    </w:pPr>
  </w:style>
  <w:style w:type="character" w:styleId="671">
    <w:name w:val="WW8Num1z0"/>
    <w:next w:val="671"/>
    <w:link w:val="666"/>
    <w:pPr>
      <w:pBdr/>
      <w:spacing/>
      <w:ind/>
    </w:pPr>
  </w:style>
  <w:style w:type="character" w:styleId="672">
    <w:name w:val="WW8Num1z1"/>
    <w:next w:val="672"/>
    <w:link w:val="666"/>
    <w:pPr>
      <w:pBdr/>
      <w:spacing/>
      <w:ind/>
    </w:pPr>
  </w:style>
  <w:style w:type="character" w:styleId="673">
    <w:name w:val="WW8Num1z2"/>
    <w:next w:val="673"/>
    <w:link w:val="666"/>
    <w:pPr>
      <w:pBdr/>
      <w:spacing/>
      <w:ind/>
    </w:pPr>
  </w:style>
  <w:style w:type="character" w:styleId="674">
    <w:name w:val="WW8Num1z3"/>
    <w:next w:val="674"/>
    <w:link w:val="666"/>
    <w:pPr>
      <w:pBdr/>
      <w:spacing/>
      <w:ind/>
    </w:pPr>
  </w:style>
  <w:style w:type="character" w:styleId="675">
    <w:name w:val="WW8Num1z4"/>
    <w:next w:val="675"/>
    <w:link w:val="666"/>
    <w:pPr>
      <w:pBdr/>
      <w:spacing/>
      <w:ind/>
    </w:pPr>
  </w:style>
  <w:style w:type="character" w:styleId="676">
    <w:name w:val="WW8Num1z5"/>
    <w:next w:val="676"/>
    <w:link w:val="666"/>
    <w:pPr>
      <w:pBdr/>
      <w:spacing/>
      <w:ind/>
    </w:pPr>
  </w:style>
  <w:style w:type="character" w:styleId="677">
    <w:name w:val="WW8Num1z6"/>
    <w:next w:val="677"/>
    <w:link w:val="666"/>
    <w:pPr>
      <w:pBdr/>
      <w:spacing/>
      <w:ind/>
    </w:pPr>
  </w:style>
  <w:style w:type="character" w:styleId="678">
    <w:name w:val="WW8Num1z7"/>
    <w:next w:val="678"/>
    <w:link w:val="666"/>
    <w:pPr>
      <w:pBdr/>
      <w:spacing/>
      <w:ind/>
    </w:pPr>
  </w:style>
  <w:style w:type="character" w:styleId="679">
    <w:name w:val="WW8Num1z8"/>
    <w:next w:val="679"/>
    <w:link w:val="666"/>
    <w:pPr>
      <w:pBdr/>
      <w:spacing/>
      <w:ind/>
    </w:pPr>
  </w:style>
  <w:style w:type="character" w:styleId="680">
    <w:name w:val="Domyślna czcionka akapitu1"/>
    <w:next w:val="680"/>
    <w:link w:val="666"/>
    <w:pPr>
      <w:pBdr/>
      <w:spacing/>
      <w:ind/>
    </w:pPr>
  </w:style>
  <w:style w:type="character" w:styleId="681">
    <w:name w:val="Symbole wypunktowania"/>
    <w:next w:val="681"/>
    <w:link w:val="666"/>
    <w:pPr>
      <w:pBdr/>
      <w:spacing/>
      <w:ind/>
    </w:pPr>
    <w:rPr>
      <w:rFonts w:ascii="OpenSymbol" w:hAnsi="OpenSymbol" w:eastAsia="OpenSymbol" w:cs="OpenSymbol"/>
    </w:rPr>
  </w:style>
  <w:style w:type="character" w:styleId="682">
    <w:name w:val="Hyperlink"/>
    <w:next w:val="682"/>
    <w:link w:val="666"/>
    <w:pPr>
      <w:pBdr/>
      <w:spacing/>
      <w:ind/>
    </w:pPr>
    <w:rPr>
      <w:color w:val="000080"/>
      <w:u w:val="single"/>
      <w:lang w:val="en-US" w:bidi="en-US"/>
    </w:rPr>
  </w:style>
  <w:style w:type="character" w:styleId="683">
    <w:name w:val="Nierozpoznana wzmianka"/>
    <w:next w:val="683"/>
    <w:link w:val="666"/>
    <w:pPr>
      <w:pBdr/>
      <w:spacing/>
      <w:ind/>
    </w:pPr>
    <w:rPr>
      <w:color w:val="605e5c"/>
      <w:shd w:val="clear" w:color="auto" w:fill="e1dfdd"/>
    </w:rPr>
  </w:style>
  <w:style w:type="paragraph" w:styleId="684">
    <w:name w:val="Nagłówek"/>
    <w:basedOn w:val="666"/>
    <w:next w:val="685"/>
    <w:link w:val="666"/>
    <w:pPr>
      <w:keepNext w:val="true"/>
      <w:pBdr/>
      <w:spacing w:after="120" w:before="240"/>
      <w:ind/>
    </w:pPr>
    <w:rPr>
      <w:rFonts w:ascii="Liberation Sans" w:hAnsi="Liberation Sans" w:eastAsia="Microsoft YaHei" w:cs="Arial"/>
      <w:sz w:val="28"/>
      <w:szCs w:val="28"/>
    </w:rPr>
  </w:style>
  <w:style w:type="paragraph" w:styleId="685">
    <w:name w:val="Body Text"/>
    <w:basedOn w:val="666"/>
    <w:next w:val="685"/>
    <w:link w:val="666"/>
    <w:pPr>
      <w:pBdr/>
      <w:spacing/>
      <w:ind/>
    </w:pPr>
    <w:rPr>
      <w:b/>
      <w:sz w:val="24"/>
    </w:rPr>
  </w:style>
  <w:style w:type="paragraph" w:styleId="686">
    <w:name w:val="List"/>
    <w:basedOn w:val="685"/>
    <w:next w:val="686"/>
    <w:link w:val="666"/>
    <w:pPr>
      <w:pBdr/>
      <w:spacing/>
      <w:ind/>
    </w:pPr>
    <w:rPr>
      <w:rFonts w:cs="Mangal"/>
    </w:rPr>
  </w:style>
  <w:style w:type="paragraph" w:styleId="687">
    <w:name w:val="Caption"/>
    <w:basedOn w:val="666"/>
    <w:next w:val="687"/>
    <w:link w:val="666"/>
    <w:pPr>
      <w:suppressLineNumbers w:val="true"/>
      <w:pBdr/>
      <w:spacing w:after="120" w:before="120"/>
      <w:ind/>
    </w:pPr>
    <w:rPr>
      <w:rFonts w:cs="Arial"/>
      <w:i/>
      <w:iCs/>
      <w:sz w:val="24"/>
      <w:szCs w:val="24"/>
    </w:rPr>
  </w:style>
  <w:style w:type="paragraph" w:styleId="688">
    <w:name w:val="Indeks"/>
    <w:basedOn w:val="666"/>
    <w:next w:val="688"/>
    <w:link w:val="666"/>
    <w:pPr>
      <w:suppressLineNumbers w:val="true"/>
      <w:pBdr/>
      <w:spacing/>
      <w:ind/>
    </w:pPr>
    <w:rPr>
      <w:rFonts w:cs="Mangal"/>
    </w:rPr>
  </w:style>
  <w:style w:type="paragraph" w:styleId="689">
    <w:name w:val="caption1"/>
    <w:basedOn w:val="666"/>
    <w:next w:val="689"/>
    <w:link w:val="666"/>
    <w:pPr>
      <w:suppressLineNumbers w:val="true"/>
      <w:pBdr/>
      <w:spacing w:after="120" w:before="120"/>
      <w:ind/>
    </w:pPr>
    <w:rPr>
      <w:rFonts w:cs="Arial"/>
      <w:i/>
      <w:iCs/>
      <w:sz w:val="24"/>
      <w:szCs w:val="24"/>
    </w:rPr>
  </w:style>
  <w:style w:type="paragraph" w:styleId="690">
    <w:name w:val="Nagłówek1"/>
    <w:basedOn w:val="666"/>
    <w:next w:val="685"/>
    <w:link w:val="666"/>
    <w:pPr>
      <w:keepNext w:val="true"/>
      <w:pBdr/>
      <w:spacing w:after="120" w:before="240"/>
      <w:ind/>
    </w:pPr>
    <w:rPr>
      <w:rFonts w:ascii="Arial" w:hAnsi="Arial" w:eastAsia="Microsoft YaHei" w:cs="Mangal"/>
      <w:sz w:val="28"/>
      <w:szCs w:val="28"/>
    </w:rPr>
  </w:style>
  <w:style w:type="paragraph" w:styleId="691">
    <w:name w:val="Podpis1"/>
    <w:basedOn w:val="666"/>
    <w:next w:val="691"/>
    <w:link w:val="666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692">
    <w:name w:val="Tekst podstawowy 22"/>
    <w:basedOn w:val="666"/>
    <w:next w:val="692"/>
    <w:link w:val="666"/>
    <w:pPr>
      <w:pBdr/>
      <w:spacing/>
      <w:ind/>
    </w:pPr>
    <w:rPr>
      <w:sz w:val="24"/>
    </w:rPr>
  </w:style>
  <w:style w:type="paragraph" w:styleId="693">
    <w:name w:val="Body Text Indent"/>
    <w:basedOn w:val="666"/>
    <w:next w:val="693"/>
    <w:link w:val="666"/>
    <w:pPr>
      <w:pBdr/>
      <w:spacing w:after="120" w:before="0"/>
      <w:ind w:right="0" w:firstLine="0" w:left="283"/>
    </w:pPr>
  </w:style>
  <w:style w:type="paragraph" w:styleId="694">
    <w:name w:val="Tekst podstawowy 21"/>
    <w:basedOn w:val="666"/>
    <w:next w:val="694"/>
    <w:link w:val="666"/>
    <w:pPr>
      <w:pBdr/>
      <w:spacing/>
      <w:ind/>
      <w:jc w:val="both"/>
    </w:pPr>
    <w:rPr>
      <w:sz w:val="24"/>
    </w:rPr>
  </w:style>
  <w:style w:type="paragraph" w:styleId="695">
    <w:name w:val="Zawartość tabeli"/>
    <w:basedOn w:val="666"/>
    <w:next w:val="695"/>
    <w:link w:val="666"/>
    <w:pPr>
      <w:suppressLineNumbers w:val="true"/>
      <w:pBdr/>
      <w:spacing/>
      <w:ind/>
    </w:pPr>
  </w:style>
  <w:style w:type="paragraph" w:styleId="696">
    <w:name w:val="Nagłówek tabeli"/>
    <w:basedOn w:val="695"/>
    <w:next w:val="696"/>
    <w:link w:val="666"/>
    <w:pPr>
      <w:suppressLineNumbers w:val="true"/>
      <w:pBdr/>
      <w:spacing/>
      <w:ind/>
      <w:jc w:val="center"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mironiuk.ilona</dc:creator>
  <cp:revision>15</cp:revision>
  <dcterms:created xsi:type="dcterms:W3CDTF">2021-03-01T06:29:00Z</dcterms:created>
  <dcterms:modified xsi:type="dcterms:W3CDTF">2026-02-23T10:03:42Z</dcterms:modified>
</cp:coreProperties>
</file>