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6"/>
          <w:szCs w:val="16"/>
        </w:rPr>
      </w:pPr>
      <w:r>
        <w:t xml:space="preserve">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Załącznik do</w:t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Zarządzenia Nr </w:t>
      </w:r>
      <w:r>
        <w:rPr>
          <w:sz w:val="16"/>
          <w:szCs w:val="16"/>
        </w:rPr>
        <w:t xml:space="preserve"> 14/IX/2026</w:t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0"/>
        <w:rPr/>
      </w:pP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23 lutego 2026 r. 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 xml:space="preserve">                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1"/>
          <w:szCs w:val="21"/>
          <w:highlight w:val="none"/>
        </w:rPr>
        <w:t xml:space="preserve"> </w:t>
      </w:r>
      <w:r>
        <w:rPr>
          <w:sz w:val="21"/>
          <w:szCs w:val="21"/>
        </w:rPr>
        <w:t xml:space="preserve">Braniewo, dnia 23 lutego 2026 r.</w:t>
      </w:r>
      <w:r>
        <w:rPr>
          <w:b/>
          <w:sz w:val="21"/>
          <w:szCs w:val="21"/>
          <w:highlight w:val="none"/>
        </w:rPr>
      </w:r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  <w:r>
        <w:rPr>
          <w:b/>
          <w:sz w:val="21"/>
          <w:szCs w:val="21"/>
        </w:rPr>
        <w:t xml:space="preserve">W Y K A Z</w:t>
      </w:r>
      <w:r/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DZIERŻAWY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rFonts w:ascii="Liberation Serif" w:hAnsi="Liberation Serif" w:cs="Liberation Serif"/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rFonts w:ascii="Liberation Serif" w:hAnsi="Liberation Serif" w:cs="Liberation Serif"/>
          <w:i/>
          <w:iCs/>
          <w:sz w:val="21"/>
          <w:szCs w:val="21"/>
        </w:rPr>
        <w:t xml:space="preserve">(t.j. Dz. U. z 2024 r., poz. 1145 ze zm.)</w:t>
      </w:r>
      <w:r>
        <w:rPr>
          <w:rFonts w:ascii="Liberation Serif" w:hAnsi="Liberation Serif" w:cs="Liberation Serif"/>
          <w:sz w:val="21"/>
          <w:szCs w:val="21"/>
        </w:rPr>
        <w:t xml:space="preserve"> podaje</w:t>
      </w:r>
      <w:r>
        <w:rPr>
          <w:rFonts w:ascii="Liberation Serif" w:hAnsi="Liberation Serif" w:cs="Liberation Serif"/>
          <w:b/>
          <w:sz w:val="21"/>
          <w:szCs w:val="21"/>
        </w:rPr>
        <w:t xml:space="preserve"> </w:t>
      </w:r>
      <w:r>
        <w:rPr>
          <w:rFonts w:ascii="Liberation Serif" w:hAnsi="Liberation Serif" w:cs="Liberation Serif"/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52"/>
        <w:gridCol w:w="1483"/>
        <w:gridCol w:w="1470"/>
        <w:gridCol w:w="1530"/>
        <w:gridCol w:w="735"/>
        <w:gridCol w:w="6251"/>
        <w:gridCol w:w="1134"/>
        <w:gridCol w:w="1559"/>
        <w:gridCol w:w="1134"/>
      </w:tblGrid>
      <w:tr>
        <w:trPr>
          <w:trHeight w:val="1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wywoławcza</w:t>
            </w:r>
            <w:r/>
          </w:p>
          <w:p>
            <w:pPr>
              <w:pStyle w:val="92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4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Młoteczno,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 nr  5/80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Rodowo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EL1B/00028088/2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31"/>
              <w:pBdr/>
              <w:spacing w:line="252" w:lineRule="auto"/>
              <w:ind/>
              <w:jc w:val="center"/>
              <w:rPr/>
            </w:pPr>
            <w:r>
              <w:t xml:space="preserve">0,0072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Nieruchomość gruntowa niezabudowana, nieużytkowana. Kształt zbliżony do trójkąta. Położona w otoczeniu nieruchomości gruntowych zabudowanych. Zgodnie za SUiKZP Gminy Braniewo </w:t>
            </w:r>
            <w:r>
              <w:rPr>
                <w:rFonts w:ascii="Times New Roman" w:hAnsi="Times New Roman" w:eastAsia="Times New Roman" w:cs="Times New Roman"/>
              </w:rPr>
              <w:t xml:space="preserve">* nieruchomość położona jest w strefie Podmiejsko-Przygranicznej. Działka posiada dostęp do drogi publicznej. W ewidencji gruntów i budynków sklasyfikowana jako dr. Przez działkę przebiega sieć wodociągowa oraz sieć energetyczna.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Nie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 występują.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Przetarg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ustny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ograniczony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 600,00 zł</w:t>
            </w:r>
            <w:r/>
          </w:p>
        </w:tc>
      </w:tr>
      <w:tr>
        <w:trPr>
          <w:trHeight w:val="14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Ułowo,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gm. Braniewo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 nr 117/30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obr.Klejnowo 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EL1B/00028095/4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31"/>
              <w:pBdr/>
              <w:spacing w:line="252" w:lineRule="auto"/>
              <w:ind/>
              <w:jc w:val="center"/>
              <w:rPr/>
            </w:pPr>
            <w:r>
              <w:t xml:space="preserve">0,0162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Nieruchomość gruntowa. Kształt zbliżony do trójkąta. Bezpośrednie otoczenie działki stanowią zabudowania wsi.. Zgodnie za SUiKZP Gminy Braniewo</w:t>
            </w:r>
            <w:r>
              <w:rPr>
                <w:rFonts w:ascii="Times New Roman" w:hAnsi="Times New Roman" w:eastAsia="Times New Roman" w:cs="Times New Roman"/>
              </w:rPr>
              <w:t xml:space="preserve">* nieruchomość położona jest w strefie Nadzalewowej. Działka posiada dostęp do drogi publicznej. W ewidencji gruntów i budynków sklasyfikowana jako B. Sieć energetyczna na działce. Działka zabudowana jednokondygnacyjnym budynkiem o przeznaczeniu do transportu i łączności o powierzchni zabudowy 28 m</w:t>
            </w:r>
            <w:r>
              <w:rPr>
                <w:rFonts w:hint="default" w:ascii="Cambria Math" w:hAnsi="Cambria Math" w:eastAsia="Cambria Math" w:cs="Cambria Math"/>
              </w:rPr>
              <w:t xml:space="preserve">²</w:t>
            </w:r>
            <w:r/>
            <w:r>
              <w:rPr>
                <w:rFonts w:ascii="Times New Roman" w:hAnsi="Times New Roman" w:eastAsia="Times New Roman" w:cs="Times New Roman"/>
              </w:rPr>
              <w:t xml:space="preserve">. Budynek w średnim stanie technicznym.</w:t>
            </w:r>
            <w:r/>
          </w:p>
          <w:p>
            <w:pPr>
              <w:pStyle w:val="892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Tryb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bezprzetargowy w celu realizacji roszczenia właściciela gruntu zgodnie z art. 231 </w:t>
            </w:r>
            <w:r>
              <w:rPr>
                <w:rFonts w:hint="default" w:ascii="Cambria Math" w:hAnsi="Cambria Math" w:eastAsia="Cambria Math" w:cs="Cambria Math"/>
                <w:sz w:val="18"/>
                <w:szCs w:val="18"/>
                <w:highlight w:val="none"/>
              </w:rPr>
              <w:t xml:space="preserve">§ </w:t>
            </w:r>
            <w:r>
              <w:rPr>
                <w:sz w:val="18"/>
                <w:szCs w:val="18"/>
                <w:highlight w:val="none"/>
              </w:rPr>
              <w:t xml:space="preserve">2 ustawy z dnia 23 kwietnia 1964r. Kodeks Cywilny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4300,00 zł</w:t>
            </w:r>
            <w:r>
              <w:rPr>
                <w:color w:val="000000"/>
              </w:rPr>
            </w:r>
          </w:p>
        </w:tc>
      </w:tr>
    </w:tbl>
    <w:p>
      <w:pPr>
        <w:pStyle w:val="930"/>
        <w:pBdr/>
        <w:spacing w:after="0" w:before="0" w:line="100" w:lineRule="atLeast"/>
        <w:ind w:right="0" w:hanging="15" w:left="0"/>
        <w:jc w:val="both"/>
        <w:rPr/>
      </w:pPr>
      <w:r>
        <w:rPr>
          <w:sz w:val="20"/>
        </w:rPr>
        <w:t xml:space="preserve">*    - uchwała rady Gminy Braniewo z dnia 21grudnia 2021 r., Nr 132/VIII/2021</w:t>
      </w:r>
      <w:r/>
    </w:p>
    <w:p>
      <w:pPr>
        <w:pStyle w:val="892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29"/>
        <w:pBdr/>
        <w:spacing/>
        <w:ind w:right="0" w:firstLine="0" w:left="0"/>
        <w:jc w:val="both"/>
        <w:rPr/>
      </w:pPr>
      <w:r/>
      <w:r/>
    </w:p>
    <w:p>
      <w:pPr>
        <w:pStyle w:val="92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2024 r., poz. 1145 ze zm.)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2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8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8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2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 w:after="0" w:before="0"/>
        <w:ind w:right="0" w:hanging="15" w:left="0"/>
        <w:jc w:val="both"/>
        <w:rPr>
          <w:i/>
        </w:rPr>
      </w:pPr>
      <w:r>
        <w:rPr>
          <w:i/>
        </w:rPr>
        <w:t xml:space="preserve">Informacje: Gmina Braniewo – Renata Kozińska, tel. 55-644-0318,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360" w:right="820" w:bottom="719" w:left="48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mbria Math">
    <w:panose1 w:val="02040503050406030204"/>
  </w:font>
  <w:font w:name="Liberation Serif">
    <w:panose1 w:val="020206030504050203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character" w:styleId="910">
    <w:name w:val="Nagłówek 1 Znak"/>
    <w:next w:val="910"/>
    <w:link w:val="892"/>
    <w:pPr>
      <w:pBdr/>
      <w:spacing/>
      <w:ind/>
    </w:pPr>
    <w:rPr>
      <w:sz w:val="24"/>
    </w:rPr>
  </w:style>
  <w:style w:type="character" w:styleId="911">
    <w:name w:val="Domyślna czcionka akapitu2"/>
    <w:next w:val="911"/>
    <w:link w:val="892"/>
    <w:pPr>
      <w:pBdr/>
      <w:spacing/>
      <w:ind/>
    </w:pPr>
  </w:style>
  <w:style w:type="character" w:styleId="912">
    <w:name w:val="ListLabel 1"/>
    <w:next w:val="912"/>
    <w:link w:val="892"/>
    <w:pPr>
      <w:pBdr/>
      <w:spacing/>
      <w:ind/>
    </w:pPr>
    <w:rPr>
      <w:rFonts w:ascii="Liberation Serif" w:hAnsi="Liberation Serif" w:cs="Liberation Serif"/>
      <w:sz w:val="21"/>
    </w:rPr>
  </w:style>
  <w:style w:type="character" w:styleId="913">
    <w:name w:val="ListLabel 2"/>
    <w:next w:val="913"/>
    <w:link w:val="892"/>
    <w:pPr>
      <w:pBdr/>
      <w:spacing/>
      <w:ind/>
    </w:pPr>
  </w:style>
  <w:style w:type="character" w:styleId="914">
    <w:name w:val="ListLabel 3"/>
    <w:next w:val="914"/>
    <w:link w:val="892"/>
    <w:pPr>
      <w:pBdr/>
      <w:spacing/>
      <w:ind/>
    </w:pPr>
  </w:style>
  <w:style w:type="character" w:styleId="915">
    <w:name w:val="ListLabel 4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6"/>
    <w:next w:val="917"/>
    <w:link w:val="892"/>
    <w:pPr>
      <w:pBdr/>
      <w:spacing/>
      <w:ind/>
    </w:pPr>
  </w:style>
  <w:style w:type="character" w:styleId="918">
    <w:name w:val="ListLabel 7"/>
    <w:next w:val="918"/>
    <w:link w:val="892"/>
    <w:pPr>
      <w:pBdr/>
      <w:spacing/>
      <w:ind/>
    </w:pPr>
  </w:style>
  <w:style w:type="character" w:styleId="919">
    <w:name w:val="ListLabel 8"/>
    <w:next w:val="919"/>
    <w:link w:val="892"/>
    <w:pPr>
      <w:pBdr/>
      <w:spacing/>
      <w:ind/>
    </w:pPr>
  </w:style>
  <w:style w:type="character" w:styleId="920">
    <w:name w:val="ListLabel 9"/>
    <w:next w:val="920"/>
    <w:link w:val="892"/>
    <w:pPr>
      <w:pBdr/>
      <w:spacing/>
      <w:ind/>
    </w:pPr>
  </w:style>
  <w:style w:type="paragraph" w:styleId="921">
    <w:name w:val="Nagłówek"/>
    <w:basedOn w:val="892"/>
    <w:next w:val="922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22">
    <w:name w:val="Treść tekstu"/>
    <w:basedOn w:val="892"/>
    <w:next w:val="922"/>
    <w:link w:val="892"/>
    <w:pPr>
      <w:pBdr/>
      <w:spacing/>
      <w:ind/>
    </w:pPr>
    <w:rPr>
      <w:b/>
      <w:sz w:val="24"/>
    </w:rPr>
  </w:style>
  <w:style w:type="paragraph" w:styleId="923">
    <w:name w:val="Lista"/>
    <w:basedOn w:val="922"/>
    <w:next w:val="923"/>
    <w:link w:val="892"/>
    <w:pPr>
      <w:pBdr/>
      <w:spacing/>
      <w:ind/>
    </w:pPr>
    <w:rPr>
      <w:rFonts w:cs="Mangal"/>
    </w:rPr>
  </w:style>
  <w:style w:type="paragraph" w:styleId="924">
    <w:name w:val="Podpis"/>
    <w:basedOn w:val="892"/>
    <w:next w:val="924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5">
    <w:name w:val="Indeks"/>
    <w:basedOn w:val="892"/>
    <w:next w:val="925"/>
    <w:link w:val="892"/>
    <w:pPr>
      <w:suppressLineNumbers w:val="true"/>
      <w:pBdr/>
      <w:spacing/>
      <w:ind/>
    </w:pPr>
    <w:rPr>
      <w:rFonts w:cs="Mangal"/>
    </w:rPr>
  </w:style>
  <w:style w:type="paragraph" w:styleId="926">
    <w:name w:val="Nagłówek1"/>
    <w:basedOn w:val="892"/>
    <w:next w:val="922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27">
    <w:name w:val="Podpis1"/>
    <w:basedOn w:val="892"/>
    <w:next w:val="92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28">
    <w:name w:val="Tekst podstawowy 22"/>
    <w:basedOn w:val="892"/>
    <w:next w:val="928"/>
    <w:link w:val="892"/>
    <w:pPr>
      <w:pBdr/>
      <w:spacing/>
      <w:ind/>
    </w:pPr>
    <w:rPr>
      <w:sz w:val="24"/>
    </w:rPr>
  </w:style>
  <w:style w:type="paragraph" w:styleId="929">
    <w:name w:val="Wcięcie treści tekstu"/>
    <w:basedOn w:val="892"/>
    <w:next w:val="929"/>
    <w:link w:val="892"/>
    <w:pPr>
      <w:pBdr/>
      <w:spacing w:after="120" w:before="0"/>
      <w:ind w:right="0" w:firstLine="0" w:left="283"/>
    </w:pPr>
  </w:style>
  <w:style w:type="paragraph" w:styleId="930">
    <w:name w:val="Tekst podstawowy 21"/>
    <w:basedOn w:val="892"/>
    <w:next w:val="930"/>
    <w:link w:val="892"/>
    <w:pPr>
      <w:pBdr/>
      <w:spacing/>
      <w:ind/>
      <w:jc w:val="both"/>
    </w:pPr>
    <w:rPr>
      <w:sz w:val="24"/>
    </w:rPr>
  </w:style>
  <w:style w:type="paragraph" w:styleId="931">
    <w:name w:val="Zawartość tabeli"/>
    <w:basedOn w:val="892"/>
    <w:next w:val="931"/>
    <w:link w:val="892"/>
    <w:pPr>
      <w:suppressLineNumbers w:val="true"/>
      <w:pBdr/>
      <w:spacing/>
      <w:ind/>
    </w:pPr>
  </w:style>
  <w:style w:type="paragraph" w:styleId="932">
    <w:name w:val="Nagłówek tabeli"/>
    <w:basedOn w:val="931"/>
    <w:next w:val="932"/>
    <w:link w:val="892"/>
    <w:pPr>
      <w:suppressLineNumbers w:val="true"/>
      <w:pBdr/>
      <w:spacing/>
      <w:ind/>
      <w:jc w:val="center"/>
    </w:pPr>
    <w:rPr>
      <w:b/>
      <w:bCs/>
    </w:rPr>
  </w:style>
  <w:style w:type="paragraph" w:styleId="933">
    <w:name w:val="Podpis2"/>
    <w:basedOn w:val="892"/>
    <w:next w:val="933"/>
    <w:link w:val="892"/>
    <w:pPr>
      <w:pBdr/>
      <w:spacing w:after="120" w:before="120"/>
      <w:ind/>
    </w:pPr>
    <w:rPr>
      <w:rFonts w:cs="Mangal"/>
      <w:i/>
      <w:iCs/>
    </w:rPr>
  </w:style>
  <w:style w:type="paragraph" w:styleId="934">
    <w:name w:val="Nagłówek2"/>
    <w:basedOn w:val="892"/>
    <w:next w:val="934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17</cp:revision>
  <dcterms:created xsi:type="dcterms:W3CDTF">1601-01-01T00:00:00Z</dcterms:created>
  <dcterms:modified xsi:type="dcterms:W3CDTF">2026-02-23T08:35:54Z</dcterms:modified>
</cp:coreProperties>
</file>