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AB37" w14:textId="47A8D447" w:rsidR="009639C0" w:rsidRDefault="00247CD8" w:rsidP="009639C0">
      <w:pPr>
        <w:jc w:val="right"/>
        <w:rPr>
          <w:rFonts w:ascii="Arial" w:hAnsi="Arial" w:cs="Arial"/>
          <w:sz w:val="24"/>
          <w:szCs w:val="24"/>
        </w:rPr>
      </w:pPr>
      <w:r w:rsidRPr="00A23FD3">
        <w:rPr>
          <w:rFonts w:ascii="Arial" w:hAnsi="Arial" w:cs="Arial"/>
          <w:sz w:val="24"/>
          <w:szCs w:val="24"/>
        </w:rPr>
        <w:t xml:space="preserve">Olsztyn, </w:t>
      </w:r>
      <w:r w:rsidR="00FC2020">
        <w:rPr>
          <w:rFonts w:ascii="Arial" w:hAnsi="Arial" w:cs="Arial"/>
          <w:sz w:val="24"/>
          <w:szCs w:val="24"/>
        </w:rPr>
        <w:t>1</w:t>
      </w:r>
      <w:r w:rsidR="009639C0">
        <w:rPr>
          <w:rFonts w:ascii="Arial" w:hAnsi="Arial" w:cs="Arial"/>
          <w:sz w:val="24"/>
          <w:szCs w:val="24"/>
        </w:rPr>
        <w:t>7</w:t>
      </w:r>
      <w:r w:rsidRPr="00A23FD3">
        <w:rPr>
          <w:rFonts w:ascii="Arial" w:hAnsi="Arial" w:cs="Arial"/>
          <w:sz w:val="24"/>
          <w:szCs w:val="24"/>
        </w:rPr>
        <w:t xml:space="preserve"> kwietnia 2021 r.</w:t>
      </w:r>
    </w:p>
    <w:p w14:paraId="21A8E09C" w14:textId="77777777" w:rsidR="009639C0" w:rsidRPr="00A23FD3" w:rsidRDefault="009639C0" w:rsidP="009639C0">
      <w:pPr>
        <w:rPr>
          <w:rFonts w:ascii="Arial" w:hAnsi="Arial" w:cs="Arial"/>
          <w:sz w:val="24"/>
          <w:szCs w:val="24"/>
        </w:rPr>
      </w:pPr>
    </w:p>
    <w:p w14:paraId="2EDA4D6E" w14:textId="5503F956" w:rsidR="00247CD8" w:rsidRDefault="009639C0" w:rsidP="00247CD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Instytut Strategie 2050</w:t>
      </w:r>
    </w:p>
    <w:p w14:paraId="14813FDF" w14:textId="633C9CB5" w:rsidR="009639C0" w:rsidRDefault="009639C0" w:rsidP="00247CD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warmińsko-mazurskie</w:t>
      </w:r>
    </w:p>
    <w:p w14:paraId="1CF00242" w14:textId="35FDA889" w:rsidR="009639C0" w:rsidRPr="001B0779" w:rsidRDefault="009639C0" w:rsidP="00247CD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przy Stowarzyszeniu Polska 2050</w:t>
      </w:r>
    </w:p>
    <w:p w14:paraId="07D93388" w14:textId="77777777" w:rsidR="00247CD8" w:rsidRPr="001B0779" w:rsidRDefault="00247CD8" w:rsidP="00247CD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B0779">
        <w:rPr>
          <w:rFonts w:ascii="Arial" w:hAnsi="Arial" w:cs="Arial"/>
          <w:b/>
          <w:bCs/>
          <w:sz w:val="24"/>
          <w:szCs w:val="24"/>
        </w:rPr>
        <w:t>KRS: 0000855870</w:t>
      </w:r>
    </w:p>
    <w:p w14:paraId="329A8F38" w14:textId="77777777" w:rsidR="00247CD8" w:rsidRPr="001B0779" w:rsidRDefault="00247CD8" w:rsidP="00247CD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B0779">
        <w:rPr>
          <w:rFonts w:ascii="Arial" w:hAnsi="Arial" w:cs="Arial"/>
          <w:b/>
          <w:bCs/>
          <w:sz w:val="24"/>
          <w:szCs w:val="24"/>
        </w:rPr>
        <w:t>Żeromskiego 24</w:t>
      </w:r>
    </w:p>
    <w:p w14:paraId="448BF0FC" w14:textId="32E494BD" w:rsidR="009639C0" w:rsidRDefault="00247CD8" w:rsidP="009639C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B0779">
        <w:rPr>
          <w:rFonts w:ascii="Arial" w:hAnsi="Arial" w:cs="Arial"/>
          <w:b/>
          <w:bCs/>
          <w:sz w:val="24"/>
          <w:szCs w:val="24"/>
        </w:rPr>
        <w:t>10-355 Olsztyn</w:t>
      </w:r>
    </w:p>
    <w:p w14:paraId="1FE67466" w14:textId="77777777" w:rsidR="009639C0" w:rsidRPr="001B0779" w:rsidRDefault="009639C0" w:rsidP="009639C0">
      <w:pPr>
        <w:rPr>
          <w:rFonts w:ascii="Arial" w:hAnsi="Arial" w:cs="Arial"/>
          <w:b/>
          <w:bCs/>
          <w:sz w:val="24"/>
          <w:szCs w:val="24"/>
        </w:rPr>
      </w:pPr>
    </w:p>
    <w:p w14:paraId="165E32D2" w14:textId="3745CE13" w:rsidR="00A23FD3" w:rsidRPr="00E208A9" w:rsidRDefault="001B0779" w:rsidP="00E208A9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1B0779">
        <w:rPr>
          <w:rFonts w:ascii="Arial" w:hAnsi="Arial" w:cs="Arial"/>
          <w:b/>
          <w:bCs/>
          <w:sz w:val="24"/>
          <w:szCs w:val="24"/>
        </w:rPr>
        <w:t>Komisj</w:t>
      </w:r>
      <w:r w:rsidR="00E208A9">
        <w:rPr>
          <w:rFonts w:ascii="Arial" w:hAnsi="Arial" w:cs="Arial"/>
          <w:b/>
          <w:bCs/>
          <w:sz w:val="24"/>
          <w:szCs w:val="24"/>
        </w:rPr>
        <w:t>a</w:t>
      </w:r>
      <w:r w:rsidRPr="001B0779">
        <w:rPr>
          <w:rFonts w:ascii="Arial" w:hAnsi="Arial" w:cs="Arial"/>
          <w:b/>
          <w:bCs/>
          <w:sz w:val="24"/>
          <w:szCs w:val="24"/>
        </w:rPr>
        <w:t xml:space="preserve"> Skarg, Wniosków i Petycji</w:t>
      </w:r>
    </w:p>
    <w:p w14:paraId="74513106" w14:textId="1EAD1329" w:rsidR="00A23FD3" w:rsidRDefault="00A23FD3" w:rsidP="00A23FD3">
      <w:pPr>
        <w:jc w:val="right"/>
        <w:rPr>
          <w:rFonts w:ascii="Arial" w:hAnsi="Arial" w:cs="Arial"/>
          <w:sz w:val="24"/>
          <w:szCs w:val="24"/>
        </w:rPr>
      </w:pPr>
    </w:p>
    <w:p w14:paraId="70C4DBFD" w14:textId="670C3F19" w:rsidR="001B0779" w:rsidRDefault="001B0779" w:rsidP="00A23FD3">
      <w:pPr>
        <w:jc w:val="right"/>
        <w:rPr>
          <w:rFonts w:ascii="Arial" w:hAnsi="Arial" w:cs="Arial"/>
          <w:sz w:val="24"/>
          <w:szCs w:val="24"/>
        </w:rPr>
      </w:pPr>
    </w:p>
    <w:p w14:paraId="5BDD9E50" w14:textId="77777777" w:rsidR="009639C0" w:rsidRDefault="009639C0" w:rsidP="00A23FD3">
      <w:pPr>
        <w:jc w:val="right"/>
        <w:rPr>
          <w:rFonts w:ascii="Arial" w:hAnsi="Arial" w:cs="Arial"/>
          <w:sz w:val="24"/>
          <w:szCs w:val="24"/>
        </w:rPr>
      </w:pPr>
    </w:p>
    <w:p w14:paraId="51839C01" w14:textId="5EDF9310" w:rsidR="00A23FD3" w:rsidRDefault="00A23FD3" w:rsidP="00A23F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23FD3">
        <w:rPr>
          <w:rFonts w:ascii="Arial" w:hAnsi="Arial" w:cs="Arial"/>
          <w:sz w:val="24"/>
          <w:szCs w:val="24"/>
        </w:rPr>
        <w:t xml:space="preserve">Działając na podstawie art. 63 Konstytucji Rzeczypospolitej Polskiej z dnia 2 kwietnia 1997 r. (Dz. U. Nr 78, poz. 483 z późn. zm.) oraz art. 2 ust. 2 pkt 1 ustawy z dnia 11 lipca 2014 r. o petycjach (t.j. Dz. U. z 2018 r. poz. 870) Stowarzyszenie Polska 2050 (dalej: Stowarzyszenie) </w:t>
      </w:r>
      <w:r>
        <w:rPr>
          <w:rFonts w:ascii="Arial" w:hAnsi="Arial" w:cs="Arial"/>
          <w:sz w:val="24"/>
          <w:szCs w:val="24"/>
        </w:rPr>
        <w:t>zwraca</w:t>
      </w:r>
      <w:r w:rsidRPr="00A23FD3">
        <w:rPr>
          <w:rFonts w:ascii="Arial" w:hAnsi="Arial" w:cs="Arial"/>
          <w:sz w:val="24"/>
          <w:szCs w:val="24"/>
        </w:rPr>
        <w:t xml:space="preserve"> się z petycją w sprawie</w:t>
      </w:r>
      <w:r>
        <w:rPr>
          <w:rFonts w:ascii="Arial" w:hAnsi="Arial" w:cs="Arial"/>
          <w:sz w:val="24"/>
          <w:szCs w:val="24"/>
        </w:rPr>
        <w:t xml:space="preserve"> zasad wynajmowania lokali wchodzących w skład mieszkaniowego zasobu gminy. </w:t>
      </w:r>
      <w:r w:rsidRPr="00A23FD3">
        <w:rPr>
          <w:rFonts w:ascii="Arial" w:hAnsi="Arial" w:cs="Arial"/>
          <w:sz w:val="24"/>
          <w:szCs w:val="24"/>
        </w:rPr>
        <w:t>Jednocześnie Stowarzyszenie wyraża zgodę, o której mowa w art. 4 ust. 3 ustawy o petycjach.</w:t>
      </w:r>
    </w:p>
    <w:p w14:paraId="4219B796" w14:textId="73D7D9EB" w:rsidR="00A23FD3" w:rsidRDefault="00A23FD3" w:rsidP="00A23F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Wnioskujemy, aby </w:t>
      </w:r>
      <w:r w:rsidR="00EA2511">
        <w:rPr>
          <w:rFonts w:ascii="Arial" w:hAnsi="Arial" w:cs="Arial"/>
          <w:sz w:val="24"/>
          <w:szCs w:val="24"/>
        </w:rPr>
        <w:t>w uchwale o zasadach wynajmowania lokali wchodzących w skład mieszkaniowego zasobu gminy, o któr</w:t>
      </w:r>
      <w:r w:rsidR="000D661D">
        <w:rPr>
          <w:rFonts w:ascii="Arial" w:hAnsi="Arial" w:cs="Arial"/>
          <w:sz w:val="24"/>
          <w:szCs w:val="24"/>
        </w:rPr>
        <w:t>ej</w:t>
      </w:r>
      <w:r w:rsidR="00EA2511">
        <w:rPr>
          <w:rFonts w:ascii="Arial" w:hAnsi="Arial" w:cs="Arial"/>
          <w:sz w:val="24"/>
          <w:szCs w:val="24"/>
        </w:rPr>
        <w:t xml:space="preserve"> mowa w art. 21 ust. 1 </w:t>
      </w:r>
      <w:r w:rsidR="000D661D">
        <w:rPr>
          <w:rFonts w:ascii="Arial" w:hAnsi="Arial" w:cs="Arial"/>
          <w:sz w:val="24"/>
          <w:szCs w:val="24"/>
        </w:rPr>
        <w:t>pkt 2 u</w:t>
      </w:r>
      <w:r w:rsidR="00EA2511" w:rsidRPr="00EA2511">
        <w:rPr>
          <w:rFonts w:ascii="Arial" w:hAnsi="Arial" w:cs="Arial"/>
          <w:sz w:val="24"/>
          <w:szCs w:val="24"/>
        </w:rPr>
        <w:t>stawa z dnia 21 czerwca 2001 r. o ochronie praw lokatorów, mieszkaniowym zasobie gminy i o zmianie Kodeksu cywilnego (t.j. Dz. U. z 2020 r. poz. 611)</w:t>
      </w:r>
      <w:r w:rsidR="000D661D">
        <w:rPr>
          <w:rFonts w:ascii="Arial" w:hAnsi="Arial" w:cs="Arial"/>
          <w:sz w:val="24"/>
          <w:szCs w:val="24"/>
        </w:rPr>
        <w:t xml:space="preserve"> dodać przepisy dające uprawnienia wójtowi/burmistrzowi/prezydentowi miasta do oddania w najem lub podnajem lokalu na czas nieoznaczony osobom:</w:t>
      </w:r>
    </w:p>
    <w:p w14:paraId="1EFBFA25" w14:textId="3B80CB86" w:rsidR="000D661D" w:rsidRDefault="000D661D" w:rsidP="00A23F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 niepełnosprawnością w stopniu umiarkowanym i znacznym w rozumieniu art. 3 u</w:t>
      </w:r>
      <w:r w:rsidRPr="000D661D">
        <w:rPr>
          <w:rFonts w:ascii="Arial" w:hAnsi="Arial" w:cs="Arial"/>
          <w:sz w:val="24"/>
          <w:szCs w:val="24"/>
        </w:rPr>
        <w:t>staw</w:t>
      </w:r>
      <w:r>
        <w:rPr>
          <w:rFonts w:ascii="Arial" w:hAnsi="Arial" w:cs="Arial"/>
          <w:sz w:val="24"/>
          <w:szCs w:val="24"/>
        </w:rPr>
        <w:t>y</w:t>
      </w:r>
      <w:r w:rsidRPr="000D661D">
        <w:rPr>
          <w:rFonts w:ascii="Arial" w:hAnsi="Arial" w:cs="Arial"/>
          <w:sz w:val="24"/>
          <w:szCs w:val="24"/>
        </w:rPr>
        <w:t xml:space="preserve"> z dnia 27 sierpnia 1997 r. o rehabilitacji zawodowej i społecznej oraz zatrudnianiu osób niepełnosprawnych (t.j. Dz. U. z 2021 r. poz. 573)</w:t>
      </w:r>
      <w:r w:rsidR="00712DA4">
        <w:rPr>
          <w:rFonts w:ascii="Arial" w:hAnsi="Arial" w:cs="Arial"/>
          <w:sz w:val="24"/>
          <w:szCs w:val="24"/>
        </w:rPr>
        <w:t xml:space="preserve"> bez konieczności spełnienia wymagań kryterium </w:t>
      </w:r>
      <w:r w:rsidR="00B43462">
        <w:rPr>
          <w:rFonts w:ascii="Arial" w:hAnsi="Arial" w:cs="Arial"/>
          <w:sz w:val="24"/>
          <w:szCs w:val="24"/>
        </w:rPr>
        <w:t>dochodowego</w:t>
      </w:r>
      <w:r w:rsidR="00712DA4">
        <w:rPr>
          <w:rFonts w:ascii="Arial" w:hAnsi="Arial" w:cs="Arial"/>
          <w:sz w:val="24"/>
          <w:szCs w:val="24"/>
        </w:rPr>
        <w:t>,</w:t>
      </w:r>
    </w:p>
    <w:p w14:paraId="084B9912" w14:textId="213FA723" w:rsidR="000D661D" w:rsidRDefault="000D661D" w:rsidP="00A23F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wychodzącym z systemu pieczy zastępczej, o której mowa w art. 2 pkt 2 u</w:t>
      </w:r>
      <w:r w:rsidRPr="000D661D">
        <w:rPr>
          <w:rFonts w:ascii="Arial" w:hAnsi="Arial" w:cs="Arial"/>
          <w:sz w:val="24"/>
          <w:szCs w:val="24"/>
        </w:rPr>
        <w:t>staw</w:t>
      </w:r>
      <w:r>
        <w:rPr>
          <w:rFonts w:ascii="Arial" w:hAnsi="Arial" w:cs="Arial"/>
          <w:sz w:val="24"/>
          <w:szCs w:val="24"/>
        </w:rPr>
        <w:t>y</w:t>
      </w:r>
      <w:r w:rsidRPr="000D661D">
        <w:rPr>
          <w:rFonts w:ascii="Arial" w:hAnsi="Arial" w:cs="Arial"/>
          <w:sz w:val="24"/>
          <w:szCs w:val="24"/>
        </w:rPr>
        <w:t xml:space="preserve"> z dnia 9 czerwca 2011 r. o wspieraniu rodziny i systemie pieczy zastępczej (t.j. Dz. U. z 2020 r. poz. 821 z późn. zm.)</w:t>
      </w:r>
      <w:r w:rsidR="00712DA4">
        <w:rPr>
          <w:rFonts w:ascii="Arial" w:hAnsi="Arial" w:cs="Arial"/>
          <w:sz w:val="24"/>
          <w:szCs w:val="24"/>
        </w:rPr>
        <w:t xml:space="preserve"> bez konieczności spełnienia wymagań dotyczących warunków zamieszkiwania</w:t>
      </w:r>
      <w:r w:rsidR="0044316C">
        <w:rPr>
          <w:rFonts w:ascii="Arial" w:hAnsi="Arial" w:cs="Arial"/>
          <w:sz w:val="24"/>
          <w:szCs w:val="24"/>
        </w:rPr>
        <w:t xml:space="preserve"> oraz kryterium dochodowego.</w:t>
      </w:r>
    </w:p>
    <w:p w14:paraId="5861EC3A" w14:textId="27FCAB7E" w:rsidR="00712DA4" w:rsidRDefault="00712DA4" w:rsidP="00091A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Pierwsza zmiana dotycząca osób niepełnosprawnych podyktowana jest faktem, iż osoby </w:t>
      </w:r>
      <w:r w:rsidR="0044316C">
        <w:rPr>
          <w:rFonts w:ascii="Arial" w:hAnsi="Arial" w:cs="Arial"/>
          <w:sz w:val="24"/>
          <w:szCs w:val="24"/>
        </w:rPr>
        <w:t xml:space="preserve">z niepełnosprawnością </w:t>
      </w:r>
      <w:r>
        <w:rPr>
          <w:rFonts w:ascii="Arial" w:hAnsi="Arial" w:cs="Arial"/>
          <w:sz w:val="24"/>
          <w:szCs w:val="24"/>
        </w:rPr>
        <w:t xml:space="preserve">często mają wyższe koszty utrzymania ze względu na </w:t>
      </w:r>
      <w:r w:rsidR="0044316C">
        <w:rPr>
          <w:rFonts w:ascii="Arial" w:hAnsi="Arial" w:cs="Arial"/>
          <w:sz w:val="24"/>
          <w:szCs w:val="24"/>
        </w:rPr>
        <w:t>wydatki z nią związane.</w:t>
      </w:r>
      <w:r>
        <w:rPr>
          <w:rFonts w:ascii="Arial" w:hAnsi="Arial" w:cs="Arial"/>
          <w:sz w:val="24"/>
          <w:szCs w:val="24"/>
        </w:rPr>
        <w:t xml:space="preserve"> Możliwa jest zatem sytuacja, iż pomimo osiągania dochodów przewyższających </w:t>
      </w:r>
      <w:r w:rsidR="00091A24">
        <w:rPr>
          <w:rFonts w:ascii="Arial" w:hAnsi="Arial" w:cs="Arial"/>
          <w:sz w:val="24"/>
          <w:szCs w:val="24"/>
        </w:rPr>
        <w:t>kryterium dochodowe kwalifikujące do zawarcia umowy najmu lub podnajmu</w:t>
      </w:r>
      <w:r w:rsidR="0044316C">
        <w:rPr>
          <w:rFonts w:ascii="Arial" w:hAnsi="Arial" w:cs="Arial"/>
          <w:sz w:val="24"/>
          <w:szCs w:val="24"/>
        </w:rPr>
        <w:t>,</w:t>
      </w:r>
      <w:r w:rsidR="00091A24">
        <w:rPr>
          <w:rFonts w:ascii="Arial" w:hAnsi="Arial" w:cs="Arial"/>
          <w:sz w:val="24"/>
          <w:szCs w:val="24"/>
        </w:rPr>
        <w:t xml:space="preserve"> gospodarstwa te nadal nie będą w stanie zaspokoić swoich potrzeb mieszkaniowych. Potwierdza to </w:t>
      </w:r>
      <w:bookmarkStart w:id="0" w:name="_Hlk68797311"/>
      <w:r w:rsidR="00091A24" w:rsidRPr="0044316C">
        <w:rPr>
          <w:rFonts w:ascii="Arial" w:hAnsi="Arial" w:cs="Arial"/>
          <w:i/>
          <w:iCs/>
          <w:sz w:val="24"/>
          <w:szCs w:val="24"/>
        </w:rPr>
        <w:t>Badanie potrzeb osób niepełnosprawnych</w:t>
      </w:r>
      <w:bookmarkEnd w:id="0"/>
      <w:r w:rsidR="00091A24" w:rsidRPr="009842C7">
        <w:rPr>
          <w:rFonts w:ascii="Arial" w:hAnsi="Arial" w:cs="Arial"/>
          <w:sz w:val="24"/>
          <w:szCs w:val="24"/>
        </w:rPr>
        <w:t xml:space="preserve"> </w:t>
      </w:r>
      <w:r w:rsidR="00091A24">
        <w:rPr>
          <w:rFonts w:ascii="Arial" w:hAnsi="Arial" w:cs="Arial"/>
          <w:sz w:val="24"/>
          <w:szCs w:val="24"/>
        </w:rPr>
        <w:t xml:space="preserve">przeprowadzone w 2017 r. na rzecz Państwowego Funduszu Rehabilitacji Osób Niepełnosprawnych. </w:t>
      </w:r>
      <w:r w:rsidR="00091A24" w:rsidRPr="00091A24">
        <w:rPr>
          <w:rFonts w:ascii="Arial" w:hAnsi="Arial" w:cs="Arial"/>
          <w:sz w:val="24"/>
          <w:szCs w:val="24"/>
        </w:rPr>
        <w:t xml:space="preserve">Populacja osób niepełnosprawnych różni się od ogółu populacji </w:t>
      </w:r>
      <w:r w:rsidR="00091A24" w:rsidRPr="00091A24">
        <w:rPr>
          <w:rFonts w:ascii="Arial" w:hAnsi="Arial" w:cs="Arial"/>
          <w:sz w:val="24"/>
          <w:szCs w:val="24"/>
        </w:rPr>
        <w:lastRenderedPageBreak/>
        <w:t>Polski nie tylko pod względem struktury wiekowej, lecz także pod względem zmiennych związanych ze statusem społeczno-ekonomicznym. Różnice te mają bezpośrednie przełożenie na sytuację ekonomiczną, szanse życiowe oraz codzienne funkcjonowanie osób niepełnosprawnych.</w:t>
      </w:r>
      <w:r w:rsidR="00091A24" w:rsidRPr="000B1B98">
        <w:rPr>
          <w:vertAlign w:val="superscript"/>
        </w:rPr>
        <w:footnoteReference w:id="1"/>
      </w:r>
    </w:p>
    <w:p w14:paraId="234BC962" w14:textId="46245379" w:rsidR="007125AC" w:rsidRDefault="007125AC" w:rsidP="00091A24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0D89CE9" wp14:editId="39A80D67">
            <wp:extent cx="5760720" cy="4018280"/>
            <wp:effectExtent l="0" t="0" r="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32EA2" w14:textId="67D83D4D" w:rsidR="000B1B98" w:rsidRPr="009842C7" w:rsidRDefault="000B1B98" w:rsidP="00091A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Z powyższej tabeli widzimy, iż w przypadku osób niepełnosprawnych (ON) wszystkie wydatki poza zdrowiem mieszczą się poniżej średniej wydatków gospodarstw ogółem. Potwierdza to tezę o zwiększonych wydatkach związanych z niepełnosprawnością.</w:t>
      </w:r>
    </w:p>
    <w:p w14:paraId="5C640DD2" w14:textId="180F398A" w:rsidR="00091A24" w:rsidRDefault="00091A24" w:rsidP="001D0E7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D0E72">
        <w:rPr>
          <w:rFonts w:ascii="Arial" w:hAnsi="Arial" w:cs="Arial"/>
          <w:sz w:val="24"/>
          <w:szCs w:val="24"/>
        </w:rPr>
        <w:t>Ponad połowa osób niepełnosprawnych mieszka w gospodarstwach co najmniej 3-osobowych (54%).</w:t>
      </w:r>
      <w:r w:rsidR="001D0E72" w:rsidRPr="001D0E72">
        <w:rPr>
          <w:rFonts w:ascii="Arial" w:hAnsi="Arial" w:cs="Arial"/>
          <w:sz w:val="24"/>
          <w:szCs w:val="24"/>
        </w:rPr>
        <w:t xml:space="preserve"> </w:t>
      </w:r>
      <w:r w:rsidRPr="001D0E72">
        <w:rPr>
          <w:rFonts w:ascii="Arial" w:hAnsi="Arial" w:cs="Arial"/>
          <w:sz w:val="24"/>
          <w:szCs w:val="24"/>
        </w:rPr>
        <w:t>Gospodarstwa dwuosobowe, zarówno małżeńskie/partnerskie, jak i w relacji dziecko/rodzic, stanowią 29%</w:t>
      </w:r>
      <w:r w:rsidR="001D0E72" w:rsidRPr="001D0E72">
        <w:rPr>
          <w:rFonts w:ascii="Arial" w:hAnsi="Arial" w:cs="Arial"/>
          <w:sz w:val="24"/>
          <w:szCs w:val="24"/>
        </w:rPr>
        <w:t xml:space="preserve"> </w:t>
      </w:r>
      <w:r w:rsidRPr="001D0E72">
        <w:rPr>
          <w:rFonts w:ascii="Arial" w:hAnsi="Arial" w:cs="Arial"/>
          <w:sz w:val="24"/>
          <w:szCs w:val="24"/>
        </w:rPr>
        <w:t>ogółu. Przy tym ten typ gospodarstw jest częściej spotykany w przypadku osób chorujących psychicznie (37%),</w:t>
      </w:r>
      <w:r w:rsidR="001D0E72" w:rsidRPr="001D0E72">
        <w:rPr>
          <w:rFonts w:ascii="Arial" w:hAnsi="Arial" w:cs="Arial"/>
          <w:sz w:val="24"/>
          <w:szCs w:val="24"/>
        </w:rPr>
        <w:t xml:space="preserve"> </w:t>
      </w:r>
      <w:r w:rsidRPr="001D0E72">
        <w:rPr>
          <w:rFonts w:ascii="Arial" w:hAnsi="Arial" w:cs="Arial"/>
          <w:sz w:val="24"/>
          <w:szCs w:val="24"/>
        </w:rPr>
        <w:t>które rzadziej pozostają w związkach, częściej zaś dzielą mieszkanie z rodzicam</w:t>
      </w:r>
      <w:r w:rsidR="001D0E72">
        <w:rPr>
          <w:rFonts w:ascii="Arial" w:hAnsi="Arial" w:cs="Arial"/>
          <w:sz w:val="24"/>
          <w:szCs w:val="24"/>
        </w:rPr>
        <w:t>i.</w:t>
      </w:r>
      <w:r w:rsidR="001D0E72" w:rsidRPr="000B1B98">
        <w:rPr>
          <w:vertAlign w:val="superscript"/>
        </w:rPr>
        <w:footnoteReference w:id="2"/>
      </w:r>
      <w:r w:rsidR="001D0E72">
        <w:rPr>
          <w:rFonts w:ascii="Arial" w:hAnsi="Arial" w:cs="Arial"/>
          <w:sz w:val="24"/>
          <w:szCs w:val="24"/>
        </w:rPr>
        <w:t xml:space="preserve"> Taki stan rzeczy poza osobami z chorobami psychicznymi nie wynika zazwyczaj z wyboru a z przymusu ekonomicznego. Osoby niepełnosprawne dużo rzadziej są w stanie samodzielnie utrzymać gospodarstwo domowe, więc dochód na jedną osobę w </w:t>
      </w:r>
      <w:r w:rsidR="0044316C">
        <w:rPr>
          <w:rFonts w:ascii="Arial" w:hAnsi="Arial" w:cs="Arial"/>
          <w:sz w:val="24"/>
          <w:szCs w:val="24"/>
        </w:rPr>
        <w:t>nim</w:t>
      </w:r>
      <w:r w:rsidR="001D0E72">
        <w:rPr>
          <w:rFonts w:ascii="Arial" w:hAnsi="Arial" w:cs="Arial"/>
          <w:sz w:val="24"/>
          <w:szCs w:val="24"/>
        </w:rPr>
        <w:t xml:space="preserve"> często jest iluzją, gdyż w normalnych warunkach byłby niższy. Powyższe może wynikać również z konieczności opieki rodziny, co powoduje zwiększone zapotrzebowanie na metraż, a co za tym idzie większe koszty kupna lub najmu mieszkania na rynku prywatnym.</w:t>
      </w:r>
    </w:p>
    <w:p w14:paraId="1D60CDDE" w14:textId="46514193" w:rsidR="00B43462" w:rsidRDefault="00B43462" w:rsidP="009842C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Należy zwrócić uwagę, iż </w:t>
      </w:r>
      <w:r w:rsidR="009842C7">
        <w:rPr>
          <w:rFonts w:ascii="Arial" w:hAnsi="Arial" w:cs="Arial"/>
          <w:sz w:val="24"/>
          <w:szCs w:val="24"/>
        </w:rPr>
        <w:t>potrzeba wspierania samodzielności i niezależności osób niepełnosprawnych zauważana jest ponad</w:t>
      </w:r>
      <w:r w:rsidR="0044316C">
        <w:rPr>
          <w:rFonts w:ascii="Arial" w:hAnsi="Arial" w:cs="Arial"/>
          <w:sz w:val="24"/>
          <w:szCs w:val="24"/>
        </w:rPr>
        <w:t>narodowo</w:t>
      </w:r>
      <w:r w:rsidR="009842C7">
        <w:rPr>
          <w:rFonts w:ascii="Arial" w:hAnsi="Arial" w:cs="Arial"/>
          <w:sz w:val="24"/>
          <w:szCs w:val="24"/>
        </w:rPr>
        <w:t xml:space="preserve"> od dłuższego czasu. Polska zobowiązała się poprzez </w:t>
      </w:r>
      <w:r w:rsidR="009842C7" w:rsidRPr="009842C7">
        <w:rPr>
          <w:rFonts w:ascii="Arial" w:hAnsi="Arial" w:cs="Arial"/>
          <w:sz w:val="24"/>
          <w:szCs w:val="24"/>
        </w:rPr>
        <w:t>Konwencj</w:t>
      </w:r>
      <w:r w:rsidR="009842C7">
        <w:rPr>
          <w:rFonts w:ascii="Arial" w:hAnsi="Arial" w:cs="Arial"/>
          <w:sz w:val="24"/>
          <w:szCs w:val="24"/>
        </w:rPr>
        <w:t>ę</w:t>
      </w:r>
      <w:r w:rsidR="009842C7" w:rsidRPr="009842C7">
        <w:rPr>
          <w:rFonts w:ascii="Arial" w:hAnsi="Arial" w:cs="Arial"/>
          <w:sz w:val="24"/>
          <w:szCs w:val="24"/>
        </w:rPr>
        <w:t xml:space="preserve"> o prawach osób niepełnosprawnych, sporządzon</w:t>
      </w:r>
      <w:r w:rsidR="0044316C">
        <w:rPr>
          <w:rFonts w:ascii="Arial" w:hAnsi="Arial" w:cs="Arial"/>
          <w:sz w:val="24"/>
          <w:szCs w:val="24"/>
        </w:rPr>
        <w:t>ą</w:t>
      </w:r>
      <w:r w:rsidR="009842C7" w:rsidRPr="009842C7">
        <w:rPr>
          <w:rFonts w:ascii="Arial" w:hAnsi="Arial" w:cs="Arial"/>
          <w:sz w:val="24"/>
          <w:szCs w:val="24"/>
        </w:rPr>
        <w:t xml:space="preserve"> w Nowym Jorku dnia 13 grudnia 2006 r. (Dz. U. z 2012 r. poz. 1169 z późn. zm.)</w:t>
      </w:r>
      <w:r w:rsidR="009842C7">
        <w:rPr>
          <w:rFonts w:ascii="Arial" w:hAnsi="Arial" w:cs="Arial"/>
          <w:sz w:val="24"/>
          <w:szCs w:val="24"/>
        </w:rPr>
        <w:t xml:space="preserve"> w art. 20 do podejmowania</w:t>
      </w:r>
      <w:r w:rsidR="009842C7" w:rsidRPr="009842C7">
        <w:rPr>
          <w:rFonts w:ascii="Arial" w:hAnsi="Arial" w:cs="Arial"/>
          <w:sz w:val="24"/>
          <w:szCs w:val="24"/>
        </w:rPr>
        <w:t xml:space="preserve"> skuteczn</w:t>
      </w:r>
      <w:r w:rsidR="009842C7">
        <w:rPr>
          <w:rFonts w:ascii="Arial" w:hAnsi="Arial" w:cs="Arial"/>
          <w:sz w:val="24"/>
          <w:szCs w:val="24"/>
        </w:rPr>
        <w:t>ych</w:t>
      </w:r>
      <w:r w:rsidR="009842C7" w:rsidRPr="009842C7">
        <w:rPr>
          <w:rFonts w:ascii="Arial" w:hAnsi="Arial" w:cs="Arial"/>
          <w:sz w:val="24"/>
          <w:szCs w:val="24"/>
        </w:rPr>
        <w:t xml:space="preserve"> środk</w:t>
      </w:r>
      <w:r w:rsidR="009842C7">
        <w:rPr>
          <w:rFonts w:ascii="Arial" w:hAnsi="Arial" w:cs="Arial"/>
          <w:sz w:val="24"/>
          <w:szCs w:val="24"/>
        </w:rPr>
        <w:t>ów</w:t>
      </w:r>
      <w:r w:rsidR="009842C7" w:rsidRPr="009842C7">
        <w:rPr>
          <w:rFonts w:ascii="Arial" w:hAnsi="Arial" w:cs="Arial"/>
          <w:sz w:val="24"/>
          <w:szCs w:val="24"/>
        </w:rPr>
        <w:t xml:space="preserve"> celem umożliwienia osobom niepełnosprawnym mobilności osobistej i możliwie największej samodzielności w tym zakresie, między innymi poprzez</w:t>
      </w:r>
      <w:r w:rsidR="009842C7">
        <w:rPr>
          <w:rFonts w:ascii="Arial" w:hAnsi="Arial" w:cs="Arial"/>
          <w:sz w:val="24"/>
          <w:szCs w:val="24"/>
        </w:rPr>
        <w:t xml:space="preserve"> </w:t>
      </w:r>
      <w:r w:rsidR="009842C7" w:rsidRPr="009842C7">
        <w:rPr>
          <w:rFonts w:ascii="Arial" w:hAnsi="Arial" w:cs="Arial"/>
          <w:sz w:val="24"/>
          <w:szCs w:val="24"/>
        </w:rPr>
        <w:t>ułatwianie mobilności osób niepełnosprawnych</w:t>
      </w:r>
      <w:r w:rsidR="009842C7">
        <w:rPr>
          <w:rFonts w:ascii="Arial" w:hAnsi="Arial" w:cs="Arial"/>
          <w:sz w:val="24"/>
          <w:szCs w:val="24"/>
        </w:rPr>
        <w:t>. Taką mobilnością z pewnością jest dostęp do własnego mieszkania.</w:t>
      </w:r>
    </w:p>
    <w:p w14:paraId="26899EA6" w14:textId="1E3C5687" w:rsidR="00B43462" w:rsidRDefault="001D0E72" w:rsidP="009639C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tabeli przedstawionej </w:t>
      </w:r>
      <w:r w:rsidR="000B1B98">
        <w:rPr>
          <w:rFonts w:ascii="Arial" w:hAnsi="Arial" w:cs="Arial"/>
          <w:sz w:val="24"/>
          <w:szCs w:val="24"/>
        </w:rPr>
        <w:t>poniżej</w:t>
      </w:r>
      <w:r w:rsidRPr="000B1B98">
        <w:rPr>
          <w:vertAlign w:val="superscript"/>
        </w:rPr>
        <w:footnoteReference w:id="3"/>
      </w:r>
      <w:r w:rsidRPr="000B1B98"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wynika, iż w przypadku osób chorujących psychicznie lub z upośledzeniem umysłowym głównym źródłem dochodu nie jest stała praca lecz </w:t>
      </w:r>
      <w:r w:rsidR="00B43462">
        <w:rPr>
          <w:rFonts w:ascii="Arial" w:hAnsi="Arial" w:cs="Arial"/>
          <w:sz w:val="24"/>
          <w:szCs w:val="24"/>
        </w:rPr>
        <w:t xml:space="preserve">różnego </w:t>
      </w:r>
      <w:r w:rsidR="0044316C">
        <w:rPr>
          <w:rFonts w:ascii="Arial" w:hAnsi="Arial" w:cs="Arial"/>
          <w:sz w:val="24"/>
          <w:szCs w:val="24"/>
        </w:rPr>
        <w:t xml:space="preserve">rodzaju </w:t>
      </w:r>
      <w:r w:rsidR="00B43462">
        <w:rPr>
          <w:rFonts w:ascii="Arial" w:hAnsi="Arial" w:cs="Arial"/>
          <w:sz w:val="24"/>
          <w:szCs w:val="24"/>
        </w:rPr>
        <w:t>świadczenia socjalne. Powoduje to, iż jeśli byłyby one wystarczające do przekroczenia kryterium dochodowego, nie pozwolą np. na zaciągnięcie kredytu hipotecznego ze względu na źródło tych dochodów. Wyraźnie świadczy to o tym, iż dostęp do rynku mieszkaniowego nie zależy jedynie od dochodu</w:t>
      </w:r>
      <w:r w:rsidR="0044316C">
        <w:rPr>
          <w:rFonts w:ascii="Arial" w:hAnsi="Arial" w:cs="Arial"/>
          <w:sz w:val="24"/>
          <w:szCs w:val="24"/>
        </w:rPr>
        <w:t>.</w:t>
      </w:r>
    </w:p>
    <w:p w14:paraId="234F6E87" w14:textId="6C6EDD62" w:rsidR="001D0E72" w:rsidRDefault="001D0E72" w:rsidP="001D0E72">
      <w:pPr>
        <w:ind w:firstLine="142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33FF5BC" wp14:editId="3FA9BA28">
            <wp:extent cx="5760720" cy="52412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4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FE971" w14:textId="30FA3842" w:rsidR="009842C7" w:rsidRDefault="0044316C" w:rsidP="000B1B98">
      <w:pPr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W kwestii osób wychodzących z systemu pieczy zastępczej dostrzegamy konieczność odrębnego uregulowania ich sytuacji ze względu na fakt, iż osiągając pełnoletniość </w:t>
      </w:r>
      <w:r w:rsidR="000B1B98">
        <w:rPr>
          <w:rFonts w:ascii="Arial" w:hAnsi="Arial" w:cs="Arial"/>
          <w:sz w:val="24"/>
          <w:szCs w:val="24"/>
        </w:rPr>
        <w:t>osoby te często zderzają się z życiem, w którym pozbawieni są znacznej części opieki ze strony państwa. W ciągu jednego dnia muszą się usamodzielnić, co nie jest naturalnym procesem w dojrzewaniu człowieka. W związku z tym kryteria ogólne zawierania umów najmu nie przystają do ich rzeczywistej sytuacji. W kwestii dochodowej licząc dochód z poprzednich miesięcy odwołujemy się de facto do dochodu, którego już często nie osiągają ze względu na wyjście z systemu pieczy zastępczej. W kwestiach warunków mieszkaniowych również nie sposób tego ocenić, ze względu na fakt, iż w wielu przypadkach po osiągnięciu pełnoletniości opuszczają dotychczasowe miejsce zamieszkania w dobrych warunkach.</w:t>
      </w:r>
    </w:p>
    <w:p w14:paraId="0A09FD85" w14:textId="3C4F9B47" w:rsidR="00FA546E" w:rsidRDefault="000B1B98" w:rsidP="00FA546E">
      <w:pPr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B1B98">
        <w:rPr>
          <w:rFonts w:ascii="Arial" w:hAnsi="Arial" w:cs="Arial"/>
          <w:sz w:val="24"/>
          <w:szCs w:val="24"/>
        </w:rPr>
        <w:t>Dla dużej części wychowanków z rodzin zastępczych i domów dziecka próby wejścia w dorosłość po 18. roku życia nie kończą się najlepiej: powiększają kolejki bezrobotnych w urzędach pracy i pobierają zapomogi z opieki społecznej. Wielu rezygnuje i wraca z powrotem do pieczy zastępczej, blokując miejsca dla młodszych. Powodem jest przede wszystkim brak mieszkań i pracy oraz mizerne świadczenia finansowe. Samodzielnie mieszkający wychowanek może liczyć na 500 zł za kontynuowanie nauki.</w:t>
      </w:r>
      <w:r w:rsidR="00FA546E">
        <w:rPr>
          <w:rStyle w:val="Odwoanieprzypisudolnego"/>
          <w:rFonts w:ascii="Arial" w:hAnsi="Arial" w:cs="Arial"/>
          <w:sz w:val="24"/>
          <w:szCs w:val="24"/>
        </w:rPr>
        <w:footnoteReference w:id="4"/>
      </w:r>
    </w:p>
    <w:p w14:paraId="31646B46" w14:textId="5504C2F7" w:rsidR="000B1B98" w:rsidRDefault="000B1B98" w:rsidP="000B1B98">
      <w:pPr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9CE0C2F" wp14:editId="01C08C2F">
            <wp:extent cx="5760720" cy="328549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86535" w14:textId="0C2BB1CE" w:rsidR="00FA546E" w:rsidRDefault="00FA546E" w:rsidP="000B1B98">
      <w:pPr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Z powyższego wykresu widać, iż na największe wsparcie w usamodzielnieniu się mogą liczyć wychowankowie rodzin zastępczych spokrewnionych. W miarę w dobrej sytuacji są również wychowankowie domów dziecka. Niestety pozostałych przypadkach poziom wsparcia jest dużo niższy. </w:t>
      </w:r>
      <w:r w:rsidR="004B4351">
        <w:rPr>
          <w:rFonts w:ascii="Arial" w:hAnsi="Arial" w:cs="Arial"/>
          <w:sz w:val="24"/>
          <w:szCs w:val="24"/>
        </w:rPr>
        <w:t>Na najmniejsze wsparcie mogą liczyć podopieczni rodzinnych domów dziecka, podczas, gdy po placówkach opiekuńczo-</w:t>
      </w:r>
      <w:r w:rsidR="004B4351">
        <w:rPr>
          <w:rFonts w:ascii="Arial" w:hAnsi="Arial" w:cs="Arial"/>
          <w:sz w:val="24"/>
          <w:szCs w:val="24"/>
        </w:rPr>
        <w:lastRenderedPageBreak/>
        <w:t>wychowawczych i rodzinach spokrewnionych, to właśnie tam wychowuje się największa część dzieci i młodzieży.</w:t>
      </w:r>
    </w:p>
    <w:p w14:paraId="0350DD98" w14:textId="7F936030" w:rsidR="004B4351" w:rsidRDefault="004B4351" w:rsidP="004B43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Ze względu na różnorodną sytuację </w:t>
      </w:r>
      <w:r w:rsidR="00F73C71">
        <w:rPr>
          <w:rFonts w:ascii="Arial" w:hAnsi="Arial" w:cs="Arial"/>
          <w:sz w:val="24"/>
          <w:szCs w:val="24"/>
        </w:rPr>
        <w:t>powyższych podmiotów zasadnym byłoby wyłączenie tej grupy z ogólnych zasad zawierania umów najmu i podejście indywidualne do ich sytuacji.</w:t>
      </w:r>
    </w:p>
    <w:p w14:paraId="53DE06A0" w14:textId="0EEFD350" w:rsidR="00F73C71" w:rsidRDefault="00F73C71" w:rsidP="004B43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Zarówno w przypadku osób niepełnosprawnych jak i wychodzących z systemu pieczy zastępczej uchwała dawałaby możliwość a nie obowiązek zawarcia umowy najmu lokalu komunalnego. Takie lub podobne rozwiązania funkcjonują już w niektórych gminach naszego województwa.</w:t>
      </w:r>
    </w:p>
    <w:p w14:paraId="48E93E57" w14:textId="22A0B2DB" w:rsidR="003B1883" w:rsidRDefault="00F73C71" w:rsidP="004B43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Rady Miast w Braniewie, Dobrym Mieście, Lidzbarku Warmińskim, Lubawie, Olsztynie</w:t>
      </w:r>
      <w:r w:rsidR="00FC2020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Olsztynku</w:t>
      </w:r>
      <w:r w:rsidR="00FC2020">
        <w:rPr>
          <w:rFonts w:ascii="Arial" w:hAnsi="Arial" w:cs="Arial"/>
          <w:sz w:val="24"/>
          <w:szCs w:val="24"/>
        </w:rPr>
        <w:t xml:space="preserve"> przewidziały w swoich uchwałach wyższe kryterium dochodowe. Uchwały Rad Miejskich w </w:t>
      </w:r>
      <w:r>
        <w:rPr>
          <w:rFonts w:ascii="Arial" w:hAnsi="Arial" w:cs="Arial"/>
          <w:sz w:val="24"/>
          <w:szCs w:val="24"/>
        </w:rPr>
        <w:t>Mikołajkach</w:t>
      </w:r>
      <w:r w:rsidR="00FC2020">
        <w:rPr>
          <w:rFonts w:ascii="Arial" w:hAnsi="Arial" w:cs="Arial"/>
          <w:sz w:val="24"/>
          <w:szCs w:val="24"/>
        </w:rPr>
        <w:t xml:space="preserve"> i Pieckach przyznają burmistrzowi możliwość zawarcia umowy najmu z osobami niepełnosprawnymi z pominięciem kryteriów ogólnych, zaś w Kętrzynie taka możliwość dotyczy nie tylko osób niepełnosprawnych, lecz wszystkich szczególnie uzasadnionych przypadków.</w:t>
      </w:r>
    </w:p>
    <w:p w14:paraId="3C10F920" w14:textId="0872EA4B" w:rsidR="009639C0" w:rsidRDefault="00FC2020" w:rsidP="004B43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Mając na uwadze powyższe wnosimy jak w petitum.</w:t>
      </w:r>
    </w:p>
    <w:p w14:paraId="4C7999CA" w14:textId="77777777" w:rsidR="009639C0" w:rsidRDefault="009639C0" w:rsidP="009639C0">
      <w:pPr>
        <w:jc w:val="right"/>
        <w:rPr>
          <w:rFonts w:ascii="Arial" w:hAnsi="Arial" w:cs="Arial"/>
          <w:sz w:val="24"/>
          <w:szCs w:val="24"/>
        </w:rPr>
      </w:pPr>
    </w:p>
    <w:p w14:paraId="59B655A5" w14:textId="77777777" w:rsidR="009639C0" w:rsidRDefault="009639C0" w:rsidP="009639C0">
      <w:pPr>
        <w:jc w:val="right"/>
        <w:rPr>
          <w:rFonts w:ascii="Arial" w:hAnsi="Arial" w:cs="Arial"/>
          <w:sz w:val="24"/>
          <w:szCs w:val="24"/>
        </w:rPr>
      </w:pPr>
    </w:p>
    <w:p w14:paraId="03FA296B" w14:textId="77777777" w:rsidR="009639C0" w:rsidRDefault="009639C0" w:rsidP="009639C0">
      <w:pPr>
        <w:jc w:val="right"/>
        <w:rPr>
          <w:rFonts w:ascii="Arial" w:hAnsi="Arial" w:cs="Arial"/>
          <w:sz w:val="24"/>
          <w:szCs w:val="24"/>
        </w:rPr>
      </w:pPr>
    </w:p>
    <w:p w14:paraId="3B92ED07" w14:textId="430077A1" w:rsidR="009639C0" w:rsidRDefault="009639C0" w:rsidP="009639C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/-/ Bartosz Nowicki</w:t>
      </w:r>
    </w:p>
    <w:p w14:paraId="159614D9" w14:textId="2C88FC1B" w:rsidR="009639C0" w:rsidRPr="001B0779" w:rsidRDefault="009639C0" w:rsidP="009639C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Koordynator Regionalny Instytutu</w:t>
      </w:r>
    </w:p>
    <w:sectPr w:rsidR="009639C0" w:rsidRPr="001B0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47892" w14:textId="77777777" w:rsidR="0013584C" w:rsidRDefault="0013584C" w:rsidP="00091A24">
      <w:pPr>
        <w:spacing w:after="0" w:line="240" w:lineRule="auto"/>
      </w:pPr>
      <w:r>
        <w:separator/>
      </w:r>
    </w:p>
  </w:endnote>
  <w:endnote w:type="continuationSeparator" w:id="0">
    <w:p w14:paraId="0A978A8D" w14:textId="77777777" w:rsidR="0013584C" w:rsidRDefault="0013584C" w:rsidP="0009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FECF6" w14:textId="77777777" w:rsidR="0013584C" w:rsidRDefault="0013584C" w:rsidP="00091A24">
      <w:pPr>
        <w:spacing w:after="0" w:line="240" w:lineRule="auto"/>
      </w:pPr>
      <w:r>
        <w:separator/>
      </w:r>
    </w:p>
  </w:footnote>
  <w:footnote w:type="continuationSeparator" w:id="0">
    <w:p w14:paraId="4D5CCE36" w14:textId="77777777" w:rsidR="0013584C" w:rsidRDefault="0013584C" w:rsidP="00091A24">
      <w:pPr>
        <w:spacing w:after="0" w:line="240" w:lineRule="auto"/>
      </w:pPr>
      <w:r>
        <w:continuationSeparator/>
      </w:r>
    </w:p>
  </w:footnote>
  <w:footnote w:id="1">
    <w:p w14:paraId="6888363D" w14:textId="666B9B15" w:rsidR="00091A24" w:rsidRPr="00091A24" w:rsidRDefault="00091A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1A24">
        <w:rPr>
          <w:i/>
          <w:iCs/>
        </w:rPr>
        <w:t>Badanie potrzeb osób niepełnosprawnych</w:t>
      </w:r>
      <w:r>
        <w:t>, Marzena Sochańska-Kawiecka i inni, Badania Społeczne MSK, 2017</w:t>
      </w:r>
    </w:p>
  </w:footnote>
  <w:footnote w:id="2">
    <w:p w14:paraId="35D68974" w14:textId="78F8236C" w:rsidR="001D0E72" w:rsidRDefault="001D0E72">
      <w:pPr>
        <w:pStyle w:val="Tekstprzypisudolnego"/>
      </w:pPr>
      <w:r>
        <w:rPr>
          <w:rStyle w:val="Odwoanieprzypisudolnego"/>
        </w:rPr>
        <w:footnoteRef/>
      </w:r>
      <w:r>
        <w:t xml:space="preserve"> Ibidem</w:t>
      </w:r>
    </w:p>
  </w:footnote>
  <w:footnote w:id="3">
    <w:p w14:paraId="4DD8A754" w14:textId="6902BDCB" w:rsidR="001D0E72" w:rsidRDefault="001D0E72">
      <w:pPr>
        <w:pStyle w:val="Tekstprzypisudolnego"/>
      </w:pPr>
      <w:r>
        <w:rPr>
          <w:rStyle w:val="Odwoanieprzypisudolnego"/>
        </w:rPr>
        <w:footnoteRef/>
      </w:r>
      <w:r>
        <w:t xml:space="preserve"> Ibidem</w:t>
      </w:r>
    </w:p>
  </w:footnote>
  <w:footnote w:id="4">
    <w:p w14:paraId="275DB1D6" w14:textId="234BFDD9" w:rsidR="00FA546E" w:rsidRPr="00FA546E" w:rsidRDefault="00FA546E" w:rsidP="00FA54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A546E">
        <w:rPr>
          <w:i/>
          <w:iCs/>
        </w:rPr>
        <w:t xml:space="preserve">Pomoc w usamodzielnianiu się </w:t>
      </w:r>
      <w:r w:rsidR="004B4351">
        <w:rPr>
          <w:i/>
          <w:iCs/>
        </w:rPr>
        <w:t>p</w:t>
      </w:r>
      <w:r w:rsidRPr="00FA546E">
        <w:rPr>
          <w:i/>
          <w:iCs/>
        </w:rPr>
        <w:t>ełnoletnich wychowanków pieczy zastępczej</w:t>
      </w:r>
      <w:r>
        <w:t>, red. Jacek Szczerbiński, Najwyższa Izba Kontroli, 2014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BD"/>
    <w:rsid w:val="00013162"/>
    <w:rsid w:val="00091A24"/>
    <w:rsid w:val="000B1B98"/>
    <w:rsid w:val="000D661D"/>
    <w:rsid w:val="0013584C"/>
    <w:rsid w:val="001B0779"/>
    <w:rsid w:val="001D0E72"/>
    <w:rsid w:val="00247CD8"/>
    <w:rsid w:val="00385813"/>
    <w:rsid w:val="003B1883"/>
    <w:rsid w:val="0044316C"/>
    <w:rsid w:val="004B4351"/>
    <w:rsid w:val="00677B97"/>
    <w:rsid w:val="007125AC"/>
    <w:rsid w:val="00712DA4"/>
    <w:rsid w:val="009479BD"/>
    <w:rsid w:val="009639C0"/>
    <w:rsid w:val="009842C7"/>
    <w:rsid w:val="009B6246"/>
    <w:rsid w:val="00A23FD3"/>
    <w:rsid w:val="00A771EF"/>
    <w:rsid w:val="00B43462"/>
    <w:rsid w:val="00B5464F"/>
    <w:rsid w:val="00CD702E"/>
    <w:rsid w:val="00DE7E44"/>
    <w:rsid w:val="00E208A9"/>
    <w:rsid w:val="00EA2511"/>
    <w:rsid w:val="00F704B9"/>
    <w:rsid w:val="00F73C71"/>
    <w:rsid w:val="00FA546E"/>
    <w:rsid w:val="00FC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4CDE"/>
  <w15:chartTrackingRefBased/>
  <w15:docId w15:val="{2C937B7B-E58B-40F6-8433-BEC06A3C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1A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1A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1A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36CF3-B82C-46F9-9DF7-8D6D6D1B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1086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Nowicki</dc:creator>
  <cp:keywords/>
  <dc:description/>
  <cp:lastModifiedBy>Bartosz Nowicki</cp:lastModifiedBy>
  <cp:revision>10</cp:revision>
  <dcterms:created xsi:type="dcterms:W3CDTF">2021-03-30T16:34:00Z</dcterms:created>
  <dcterms:modified xsi:type="dcterms:W3CDTF">2021-04-17T19:23:00Z</dcterms:modified>
</cp:coreProperties>
</file>