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/>
      <w:bookmarkStart w:id="0" w:name="_Hlk113449174"/>
      <w:r>
        <w:rPr>
          <w:rFonts w:ascii="Times New Roman" w:hAnsi="Times New Roman" w:cs="Times New Roman"/>
          <w:sz w:val="24"/>
          <w:szCs w:val="24"/>
        </w:rPr>
        <w:t xml:space="preserve">Załącznik nr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 do zapytania ofertowego RPOZ.1.2024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544"/>
        </w:tabs>
        <w:spacing w:line="259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Konserwacja ołtarza głównego z kościoła p.w. św. Mikołaja w Żelichowie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pBdr/>
        <w:spacing w:after="120"/>
        <w:ind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eastAsia="hi-IN" w:bidi="hi-IN"/>
        </w:rPr>
      </w:r>
      <w:r>
        <w:rPr>
          <w:rFonts w:ascii="Times New Roman" w:hAnsi="Times New Roman" w:eastAsia="SimSun" w:cs="Times New Roman"/>
          <w:b/>
          <w:bCs/>
          <w:sz w:val="24"/>
          <w:szCs w:val="24"/>
          <w:lang w:eastAsia="hi-IN" w:bidi="hi-IN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wypełnia i podpisuje Wykonawca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 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dane identyfikacyjne Wykonawcy)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przedmiocie braku podstaw do wykluczenia wykonawcy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true"/>
        <w:pBdr/>
        <w:spacing/>
        <w: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Reprezentując wyżej wskazanego Wykonawcę/Wykonawców wspólnie ubiegających się o udzielenie zamówienia*, oświadczam, iż Wykonawca/Wykonawcy nie podlegają wyk</w:t>
      </w:r>
      <w:r>
        <w:rPr>
          <w:rFonts w:ascii="Times New Roman" w:hAnsi="Times New Roman" w:cs="Times New Roman"/>
          <w:color w:val="000000"/>
        </w:rPr>
        <w:t xml:space="preserve">luczeniu z udziału w postępowaniu o zamówienie publiczne na podstawie art. 7 ust. 1 ustawy z dnia 13 kwietnia 2022 r. o szczególnych rozwiązaniach w zakresie przeciwdziałania wspieraniu agresji na Ukrainę oraz służących ochronie bezpieczeństwa narodowego (</w:t>
      </w:r>
      <w:r>
        <w:rPr>
          <w:rFonts w:ascii="Times New Roman" w:hAnsi="Times New Roman" w:cs="Times New Roman"/>
        </w:rPr>
        <w:t xml:space="preserve">Dz. U. 2023 poz. 1497 z późn.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zm.</w:t>
      </w:r>
      <w:r>
        <w:rPr>
          <w:rFonts w:ascii="Times New Roman" w:hAnsi="Times New Roman" w:cs="Times New Roman"/>
          <w:color w:val="000000"/>
        </w:rPr>
        <w:t xml:space="preserve">), zwaną dalej „ustawą sankcyjną”, tj.: </w:t>
      </w:r>
      <w:r>
        <w:rPr>
          <w:rFonts w:ascii="Times New Roman" w:hAnsi="Times New Roman" w:cs="Times New Roman"/>
          <w:color w:val="000000"/>
        </w:rPr>
      </w:r>
    </w:p>
    <w:p>
      <w:pPr>
        <w:widowControl w:val="true"/>
        <w:numPr>
          <w:ilvl w:val="0"/>
          <w:numId w:val="16"/>
        </w:numPr>
        <w:pBdr/>
        <w:spacing w:after="202"/>
        <w:ind w:left="426"/>
        <w:contextualSpacing w:val="true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wskazany na wstępie Wykonawca/Wykonawcy nie jest/nie są wymienieni w </w:t>
      </w:r>
      <w:hyperlink r:id="rId12" w:tooltip="https://sip.lex.pl/#/document/67607987?cm=DOCUMENT" w:anchor="/document/67607987?cm=DOCUMENT" w:history="1">
        <w:r>
          <w:rPr>
            <w:rFonts w:ascii="Times New Roman" w:hAnsi="Times New Roman" w:cs="Times New Roman"/>
            <w:color w:val="000000"/>
          </w:rPr>
          <w:t xml:space="preserve">rozporządzeniu</w:t>
        </w:r>
      </w:hyperlink>
      <w:r>
        <w:rPr>
          <w:rFonts w:ascii="Times New Roman" w:hAnsi="Times New Roman" w:cs="Times New Roman"/>
          <w:color w:val="000000"/>
        </w:rPr>
        <w:t xml:space="preserve"> 765/2006 i </w:t>
      </w:r>
      <w:hyperlink r:id="rId13" w:tooltip="https://sip.lex.pl/#/document/68410867?cm=DOCUMENT" w:anchor="/document/68410867?cm=DOCUMENT" w:history="1">
        <w:r>
          <w:rPr>
            <w:rFonts w:ascii="Times New Roman" w:hAnsi="Times New Roman" w:cs="Times New Roman"/>
            <w:color w:val="000000"/>
          </w:rPr>
          <w:t xml:space="preserve">rozporządzeniu</w:t>
        </w:r>
      </w:hyperlink>
      <w:r>
        <w:rPr>
          <w:rFonts w:ascii="Times New Roman" w:hAnsi="Times New Roman" w:cs="Times New Roman"/>
          <w:color w:val="000000"/>
        </w:rPr>
        <w:t xml:space="preserve"> 269/2014 albo nie jest/nie są wpisani na listę na podstawie decyzji w sprawie wpisu na listę rozstrzygającej o zastosowaniu środka, o którym mowa w art. 1 pkt 3 ustawą sankcyjną;</w:t>
      </w:r>
      <w:r>
        <w:rPr>
          <w:rFonts w:ascii="Times New Roman" w:hAnsi="Times New Roman" w:cs="Times New Roman"/>
          <w:color w:val="000000"/>
        </w:rPr>
      </w:r>
    </w:p>
    <w:p>
      <w:pPr>
        <w:widowControl w:val="true"/>
        <w:numPr>
          <w:ilvl w:val="0"/>
          <w:numId w:val="16"/>
        </w:numPr>
        <w:pBdr/>
        <w:spacing w:after="202"/>
        <w:ind w:left="426"/>
        <w:contextualSpacing w:val="true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odniesieniu do wskazanego na wstępie Wykonawcy/Wykonawców żadna z osób wymienionych w wykazach określonych w rozporządzeniach Rady (WE), o których mowa w pkt 1 (rozporządzeniu 765/2006 i r</w:t>
      </w:r>
      <w:r>
        <w:rPr>
          <w:rFonts w:ascii="Times New Roman" w:hAnsi="Times New Roman" w:cs="Times New Roman"/>
          <w:color w:val="000000"/>
        </w:rPr>
        <w:t xml:space="preserve">ozporządzeniu 269/2014) oraz żadna z osób wpisanych na listę, o której mowa w pkt 2 powyżej, nie jest beneficjentem rzeczywistym w rozumieniu ustawy z dnia 1 marca 2018 r. o przeciwdziałaniu praniu pieniędzy oraz finansowaniu terroryzmu (tekst jedn. Dz. U.</w:t>
      </w:r>
      <w:r>
        <w:rPr>
          <w:rFonts w:ascii="Times New Roman" w:hAnsi="Times New Roman" w:cs="Times New Roman"/>
          <w:color w:val="000000"/>
        </w:rPr>
        <w:t xml:space="preserve"> z 2022 r. poz. 593, z późn. zm.) albo będąc takim beneficjentem od dnia 24 lutego 2022 r., nie została wpisana na tę listę na podstawie decyzji w sprawie wpisu na listę rozstrzygającej o zastosowaniu środka, o którym mowa w art. 1 pkt 3 ustawy sankcyjnej;</w:t>
      </w:r>
      <w:r>
        <w:rPr>
          <w:rFonts w:ascii="Times New Roman" w:hAnsi="Times New Roman" w:cs="Times New Roman"/>
          <w:color w:val="000000"/>
        </w:rPr>
      </w:r>
    </w:p>
    <w:p>
      <w:pPr>
        <w:widowControl w:val="true"/>
        <w:numPr>
          <w:ilvl w:val="0"/>
          <w:numId w:val="16"/>
        </w:numPr>
        <w:pBdr/>
        <w:spacing w:after="202"/>
        <w:ind w:left="426"/>
        <w:contextualSpacing w:val="true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odniesieniu do wskazanego na wstępie Wykonawcy/Wykonawców żaden z podmiotów wymienionych w wykazach określonych w rozporządzeniach Rady (WE), o których mowa w pkt 1 powyżej (rozporz</w:t>
      </w:r>
      <w:r>
        <w:rPr>
          <w:rFonts w:ascii="Times New Roman" w:hAnsi="Times New Roman" w:cs="Times New Roman"/>
          <w:color w:val="000000"/>
        </w:rPr>
        <w:t xml:space="preserve">ądzeniu 765/2006 i rozporządzeniu 269/2014) oraz żaden z podmiotów wpisanych na listę, o której mowa w pkt 1 powyżej, nie jest jednostką dominującą w rozumieniu art. 3 ust. 1 pkt 37 ustawy z dnia 29 września 1994 r. o rachunkowości (tekst jedn. Dz. U. z 20</w:t>
      </w:r>
      <w:r>
        <w:rPr>
          <w:rFonts w:ascii="Times New Roman" w:hAnsi="Times New Roman" w:cs="Times New Roman"/>
          <w:color w:val="000000"/>
        </w:rPr>
        <w:t xml:space="preserve">21 r. poz. 217, z późn. zm.) albo będąc taką jednostką dominującą od dnia 24 lutego 2022 r., nie został wpisany na tę listę na podstawie decyzji w sprawie wpisu na listę rozstrzygającej o zastosowaniu środka, o którym mowa w art. 1 pkt 3 ustawy sankcyjnej.</w:t>
      </w:r>
      <w:r>
        <w:rPr>
          <w:rFonts w:ascii="Times New Roman" w:hAnsi="Times New Roman" w:cs="Times New Roman"/>
          <w:color w:val="000000"/>
        </w:rPr>
      </w:r>
    </w:p>
    <w:p>
      <w:pPr>
        <w:widowControl w:val="true"/>
        <w:pBdr/>
        <w:spacing w:after="202"/>
        <w:ind w:left="66"/>
        <w:contextualSpacing w:val="true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widowControl w:val="true"/>
        <w:pBdr/>
        <w:spacing/>
        <w: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Oświadczam, że wszystkie informacje podane powyżej są aktualne i zgodne z prawdą oraz zostały przedstawione z pełną świadomością konsekwencji wprowadzenia zamawiającego w błąd przy przedstawianiu informacji. </w:t>
      </w:r>
      <w:r>
        <w:rPr>
          <w:rFonts w:ascii="Times New Roman" w:hAnsi="Times New Roman" w:cs="Times New Roman"/>
          <w:color w:val="000000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*Odpowiednie zakreślić</w:t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widowControl w:val="true"/>
        <w:pBdr/>
        <w:spacing/>
        <w: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(miejscowość) ........................................ , dnia ................................ </w:t>
      </w:r>
      <w:r>
        <w:rPr>
          <w:rFonts w:ascii="Times New Roman" w:hAnsi="Times New Roman" w:cs="Times New Roman"/>
          <w:color w:val="000000"/>
        </w:rPr>
      </w:r>
    </w:p>
    <w:p>
      <w:pPr>
        <w:pBdr/>
        <w:spacing w:after="120"/>
        <w:ind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Bdr/>
        <w:spacing w:after="120"/>
        <w:ind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Bdr/>
        <w:spacing w:after="120"/>
        <w:ind w:firstLine="708" w:left="283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.................................................................</w:t>
      </w:r>
      <w:r>
        <w:rPr>
          <w:rFonts w:ascii="Times New Roman" w:hAnsi="Times New Roman" w:cs="Times New Roman"/>
          <w:color w:val="000000"/>
        </w:rPr>
      </w:r>
    </w:p>
    <w:p>
      <w:pPr>
        <w:pBdr/>
        <w:spacing w:after="120"/>
        <w:ind w:firstLine="708"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(podpis osoby/osób Wykonawcy)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h="16840" w:orient="portrait" w:w="11910"/>
      <w:pgMar w:top="1360" w:right="1300" w:bottom="1134" w:left="1300" w:header="284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Calibri Light">
    <w:panose1 w:val="020F0302020204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r>
      <w:tab/>
    </w:r>
    <w:r/>
  </w:p>
  <w:p>
    <w:pPr>
      <w:pStyle w:val="757"/>
      <w:pBdr/>
      <w:spacing/>
      <w:ind/>
      <w:rPr/>
    </w:pPr>
    <w:r/>
    <w:r/>
  </w:p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right"/>
      <w:rPr/>
    </w:pPr>
    <w:r>
      <w:rPr>
        <w:lang w:eastAsia="pl-P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19033" cy="639294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40851" cy="646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8.98pt;height:50.34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right"/>
      <w:rPr/>
    </w:pPr>
    <w:r>
      <w:t xml:space="preserve">Załącznik Nr 1</w:t>
    </w:r>
    <w:r/>
  </w:p>
  <w:p>
    <w:pPr>
      <w:pStyle w:val="7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lowerRoman"/>
      <w:pPr>
        <w:pBdr/>
        <w:spacing/>
        <w:ind w:hanging="286" w:left="227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6" w:left="3060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6" w:left="3841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6" w:left="4622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6" w:left="5402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6" w:left="6183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6" w:left="6964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6" w:left="7744"/>
      </w:pPr>
      <w:rPr>
        <w:rFonts w:hint="default"/>
        <w:lang w:val="pl-PL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76"/>
      </w:pPr>
      <w:rPr>
        <w:rFonts w:hint="default" w:ascii="Calibri" w:hAnsi="Calibri" w:eastAsia="Calibri" w:cs="Calibri"/>
        <w:b/>
        <w:bCs/>
        <w:i w:val="0"/>
        <w:iCs w:val="0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360" w:left="836"/>
      </w:pPr>
      <w:rPr>
        <w:rFonts w:hint="default" w:ascii="Calibri" w:hAnsi="Calibri" w:eastAsia="Calibri" w:cs="Calibri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528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496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464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433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401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369"/>
      </w:pPr>
      <w:rPr>
        <w:rFonts w:hint="default"/>
        <w:lang w:val="pl-PL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"/>
      <w:numFmt w:val="upperRoman"/>
      <w:pPr>
        <w:pBdr/>
        <w:spacing/>
        <w:ind w:hanging="394" w:left="510"/>
      </w:pPr>
      <w:rPr>
        <w:rFonts w:hint="default"/>
        <w:lang w:val="pl-PL" w:eastAsia="en-US" w:bidi="ar-SA"/>
      </w:rPr>
      <w:start w:val="2"/>
      <w:suff w:val="tab"/>
    </w:lvl>
    <w:lvl w:ilvl="1">
      <w:isLgl w:val="false"/>
      <w:lvlJc w:val="left"/>
      <w:lvlText w:val="%1.%2"/>
      <w:numFmt w:val="upperLetter"/>
      <w:pPr>
        <w:pBdr/>
        <w:spacing/>
        <w:ind w:hanging="394" w:left="510"/>
      </w:pPr>
      <w:rPr>
        <w:rFonts w:hint="default"/>
        <w:lang w:val="pl-PL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4" w:left="2277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4" w:left="3155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4" w:left="4034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4" w:left="491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4" w:left="5791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4" w:left="6670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4" w:left="7549"/>
      </w:pPr>
      <w:rPr>
        <w:rFonts w:hint="default"/>
        <w:lang w:val="pl-PL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upperRoman"/>
      <w:pPr>
        <w:pBdr/>
        <w:spacing/>
        <w:ind w:hanging="327" w:left="442"/>
      </w:pPr>
      <w:rPr>
        <w:rFonts w:hint="default" w:ascii="Calibri" w:hAnsi="Calibri" w:eastAsia="Calibri" w:cs="Calibri"/>
        <w:b/>
        <w:bCs/>
        <w:i w:val="0"/>
        <w:iCs w:val="0"/>
        <w:spacing w:val="-1"/>
        <w:sz w:val="24"/>
        <w:szCs w:val="24"/>
        <w:u w:val="single"/>
        <w:lang w:val="pl-PL" w:eastAsia="en-US" w:bidi="ar-SA"/>
      </w:rPr>
      <w:start w:val="4"/>
      <w:suff w:val="tab"/>
    </w:lvl>
    <w:lvl w:ilvl="1">
      <w:isLgl w:val="false"/>
      <w:lvlJc w:val="left"/>
      <w:lvlText w:val="%2."/>
      <w:numFmt w:val="decimal"/>
      <w:pPr>
        <w:pBdr/>
        <w:spacing/>
        <w:ind w:hanging="428" w:left="543"/>
      </w:pPr>
      <w:rPr>
        <w:rFonts w:hint="default" w:ascii="Calibri" w:hAnsi="Calibri" w:eastAsia="Calibri" w:cs="Calibri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786"/>
      </w:pPr>
      <w:rPr>
        <w:rFonts w:hint="default" w:ascii="Calibri" w:hAnsi="Calibri" w:eastAsia="Calibri" w:cs="Calibri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2200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2840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3481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4121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4761"/>
      </w:pPr>
      <w:rPr>
        <w:rFonts w:hint="default"/>
        <w:lang w:val="pl-PL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33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310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83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3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07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982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57"/>
      </w:pPr>
      <w:rPr>
        <w:rFonts w:hint="default"/>
        <w:lang w:val="pl-PL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33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310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83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3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07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982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57"/>
      </w:pPr>
      <w:rPr>
        <w:rFonts w:hint="default"/>
        <w:lang w:val="pl-PL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33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310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83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3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07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982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57"/>
      </w:pPr>
      <w:rPr>
        <w:rFonts w:hint="default"/>
        <w:lang w:val="pl-PL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lowerRoman"/>
      <w:pPr>
        <w:pBdr/>
        <w:spacing/>
        <w:ind w:hanging="286" w:left="227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6" w:left="3060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6" w:left="3841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6" w:left="4622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6" w:left="5402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6" w:left="6183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6" w:left="6964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6" w:left="7744"/>
      </w:pPr>
      <w:rPr>
        <w:rFonts w:hint="default"/>
        <w:lang w:val="pl-PL" w:eastAsia="en-US" w:bidi="ar-SA"/>
      </w:rPr>
      <w:start w:val="0"/>
      <w:suff w:val="tab"/>
    </w:lvl>
  </w:abstractNum>
  <w:abstractNum w:abstractNumId="9">
    <w:lvl w:ilvl="0">
      <w:isLgl w:val="false"/>
      <w:lvlJc w:val="right"/>
      <w:lvlText w:val="%1."/>
      <w:numFmt w:val="upperRoman"/>
      <w:pPr>
        <w:pBdr/>
        <w:spacing/>
        <w:ind w:hanging="185" w:left="300"/>
      </w:pPr>
      <w:rPr>
        <w:b/>
        <w:bCs/>
        <w:i w:val="0"/>
        <w:iCs w:val="0"/>
        <w:sz w:val="24"/>
        <w:szCs w:val="24"/>
        <w:u w:val="single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28" w:left="543"/>
      </w:pPr>
      <w:rPr>
        <w:rFonts w:hint="default" w:ascii="Calibri" w:hAnsi="Calibri" w:eastAsia="Calibri" w:cs="Calibri"/>
        <w:b/>
        <w:bCs/>
        <w:i w:val="0"/>
        <w:iCs w:val="0"/>
        <w:sz w:val="22"/>
        <w:szCs w:val="22"/>
        <w:lang w:val="pl-PL" w:eastAsia="en-US" w:bidi="ar-SA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836"/>
      </w:pPr>
      <w:rPr>
        <w:rFonts w:hint="default" w:ascii="Calibri" w:hAnsi="Calibri" w:eastAsia="Calibri" w:cs="Calibri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3">
      <w:isLgl w:val="false"/>
      <w:lvlJc w:val="left"/>
      <w:lvlText w:val="%4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4">
      <w:isLgl w:val="false"/>
      <w:lvlJc w:val="left"/>
      <w:lvlText w:val="%5."/>
      <w:numFmt w:val="lowerRoman"/>
      <w:pPr>
        <w:pBdr/>
        <w:spacing/>
        <w:ind w:hanging="286" w:left="227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997"/>
        <w:jc w:val="right"/>
      </w:pPr>
      <w:rPr>
        <w:rFonts w:hint="default"/>
        <w:lang w:val="pl-PL" w:eastAsia="en-US" w:bidi="ar-SA"/>
      </w:rPr>
      <w:start w:val="1"/>
      <w:suff w:val="tab"/>
    </w:lvl>
    <w:lvl w:ilvl="6">
      <w:isLgl w:val="false"/>
      <w:lvlJc w:val="left"/>
      <w:lvlText w:val="%7)"/>
      <w:numFmt w:val="decimal"/>
      <w:pPr>
        <w:pBdr/>
        <w:spacing/>
        <w:ind w:hanging="360" w:left="836"/>
      </w:pPr>
      <w:rPr>
        <w:rFonts w:hint="default" w:ascii="Calibri" w:hAnsi="Calibri" w:eastAsia="Calibri" w:cs="Calibri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411" w:left="160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11" w:left="6153"/>
      </w:pPr>
      <w:rPr>
        <w:rFonts w:hint="default"/>
        <w:lang w:val="pl-PL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33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310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83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3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07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982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57"/>
      </w:pPr>
      <w:rPr>
        <w:rFonts w:hint="default"/>
        <w:lang w:val="pl-PL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33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310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83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3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07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982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57"/>
      </w:pPr>
      <w:rPr>
        <w:rFonts w:hint="default"/>
        <w:lang w:val="pl-PL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836"/>
      </w:pPr>
      <w:rPr>
        <w:rFonts w:hint="default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686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533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379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226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07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919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766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613"/>
      </w:pPr>
      <w:rPr>
        <w:rFonts w:hint="default"/>
        <w:lang w:val="pl-PL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lowerRoman"/>
      <w:pPr>
        <w:pBdr/>
        <w:spacing/>
        <w:ind w:hanging="286" w:left="227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6" w:left="3060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6" w:left="3841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6" w:left="4622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6" w:left="5402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6" w:left="6183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6" w:left="6964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6" w:left="7744"/>
      </w:pPr>
      <w:rPr>
        <w:rFonts w:hint="default"/>
        <w:lang w:val="pl-PL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%1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233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310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83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65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33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07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982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757"/>
      </w:pPr>
      <w:rPr>
        <w:rFonts w:hint="default"/>
        <w:lang w:val="pl-PL" w:eastAsia="en-US" w:bidi="ar-SA"/>
      </w:rPr>
      <w:start w:val="0"/>
      <w:suff w:val="tab"/>
    </w:lvl>
  </w:abstractNum>
  <w:abstractNum w:abstractNumId="15">
    <w:styleLink w:val="759"/>
    <w:lvl w:ilvl="0">
      <w:isLgl w:val="false"/>
      <w:lvlJc w:val="left"/>
      <w:lvlText w:val="%1."/>
      <w:numFmt w:val="lowerRoman"/>
      <w:pPr>
        <w:pBdr/>
        <w:spacing/>
        <w:ind w:hanging="185" w:left="300"/>
      </w:pPr>
      <w:pStyle w:val="759"/>
      <w:rPr>
        <w:rFonts w:ascii="Times New Roman" w:hAnsi="Times New Roman" w:eastAsia="Calibri" w:cs="Calibri"/>
        <w:b/>
        <w:bCs/>
        <w:i w:val="0"/>
        <w:iCs w:val="0"/>
        <w:sz w:val="24"/>
        <w:szCs w:val="24"/>
        <w:u w:val="single"/>
        <w:lang w:val="pl-PL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28" w:left="543"/>
      </w:pPr>
      <w:rPr>
        <w:rFonts w:hint="default" w:ascii="Calibri" w:hAnsi="Calibri" w:eastAsia="Calibri" w:cs="Calibri"/>
        <w:b/>
        <w:bCs/>
        <w:i w:val="0"/>
        <w:iCs w:val="0"/>
        <w:sz w:val="22"/>
        <w:szCs w:val="22"/>
        <w:lang w:val="pl-PL" w:eastAsia="en-US" w:bidi="ar-SA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836"/>
      </w:pPr>
      <w:rPr>
        <w:rFonts w:hint="default" w:ascii="Calibri" w:hAnsi="Calibri" w:eastAsia="Calibri" w:cs="Calibri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3">
      <w:isLgl w:val="false"/>
      <w:lvlJc w:val="left"/>
      <w:lvlText w:val="%4."/>
      <w:numFmt w:val="lowerLetter"/>
      <w:pPr>
        <w:pBdr/>
        <w:spacing/>
        <w:ind w:hanging="360" w:left="155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4">
      <w:isLgl w:val="false"/>
      <w:lvlJc w:val="left"/>
      <w:lvlText w:val="%5."/>
      <w:numFmt w:val="lowerRoman"/>
      <w:pPr>
        <w:pBdr/>
        <w:spacing/>
        <w:ind w:hanging="286" w:left="227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997"/>
        <w:jc w:val="right"/>
      </w:pPr>
      <w:rPr>
        <w:rFonts w:hint="default"/>
        <w:lang w:val="pl-PL" w:eastAsia="en-US" w:bidi="ar-SA"/>
      </w:rPr>
      <w:start w:val="1"/>
      <w:suff w:val="tab"/>
    </w:lvl>
    <w:lvl w:ilvl="6">
      <w:isLgl w:val="false"/>
      <w:lvlJc w:val="left"/>
      <w:lvlText w:val="%7)"/>
      <w:numFmt w:val="decimal"/>
      <w:pPr>
        <w:pBdr/>
        <w:spacing/>
        <w:ind w:hanging="360" w:left="836"/>
      </w:pPr>
      <w:rPr>
        <w:rFonts w:hint="default" w:ascii="Calibri" w:hAnsi="Calibri" w:eastAsia="Calibri" w:cs="Calibri"/>
        <w:b w:val="0"/>
        <w:bCs w:val="0"/>
        <w:i w:val="0"/>
        <w:iCs w:val="0"/>
        <w:sz w:val="22"/>
        <w:szCs w:val="22"/>
        <w:lang w:val="pl-PL" w:eastAsia="en-US" w:bidi="ar-SA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411" w:left="1606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11" w:left="6153"/>
      </w:pPr>
      <w:rPr>
        <w:rFonts w:hint="default"/>
        <w:lang w:val="pl-PL" w:eastAsia="en-US" w:bidi="ar-SA"/>
      </w:rPr>
      <w:start w:val="0"/>
      <w:suff w:val="tab"/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2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5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5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42"/>
    <w:next w:val="74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2"/>
    <w:next w:val="74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2"/>
    <w:next w:val="74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2"/>
    <w:next w:val="74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2"/>
    <w:next w:val="74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2"/>
    <w:next w:val="74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2"/>
    <w:next w:val="74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745"/>
    <w:link w:val="750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2"/>
    <w:next w:val="74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2"/>
    <w:next w:val="74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2"/>
    <w:next w:val="74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5"/>
    <w:link w:val="755"/>
    <w:uiPriority w:val="99"/>
    <w:pPr>
      <w:pBdr/>
      <w:spacing/>
      <w:ind/>
    </w:pPr>
  </w:style>
  <w:style w:type="character" w:styleId="45">
    <w:name w:val="Footer Char"/>
    <w:basedOn w:val="745"/>
    <w:link w:val="757"/>
    <w:uiPriority w:val="99"/>
    <w:pPr>
      <w:pBdr/>
      <w:spacing/>
      <w:ind/>
    </w:pPr>
  </w:style>
  <w:style w:type="paragraph" w:styleId="46">
    <w:name w:val="Caption"/>
    <w:basedOn w:val="742"/>
    <w:next w:val="7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7"/>
    <w:uiPriority w:val="99"/>
    <w:pPr>
      <w:pBdr/>
      <w:spacing/>
      <w:ind/>
    </w:pPr>
  </w:style>
  <w:style w:type="table" w:styleId="48">
    <w:name w:val="Table Grid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4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2"/>
    <w:next w:val="74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2"/>
    <w:next w:val="74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2"/>
    <w:next w:val="74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2"/>
    <w:next w:val="74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2"/>
    <w:next w:val="74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2"/>
    <w:next w:val="74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2"/>
    <w:next w:val="74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2"/>
    <w:next w:val="74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2"/>
    <w:next w:val="74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2"/>
    <w:next w:val="742"/>
    <w:uiPriority w:val="99"/>
    <w:unhideWhenUsed/>
    <w:pPr>
      <w:pBdr/>
      <w:spacing w:after="0" w:afterAutospacing="0"/>
      <w:ind/>
    </w:pPr>
  </w:style>
  <w:style w:type="paragraph" w:styleId="742" w:default="1">
    <w:name w:val="Normal"/>
    <w:qFormat/>
    <w:pPr>
      <w:pBdr/>
      <w:spacing/>
      <w:ind/>
    </w:pPr>
    <w:rPr>
      <w:rFonts w:ascii="Calibri" w:hAnsi="Calibri" w:eastAsia="Calibri" w:cs="Calibri"/>
      <w:lang w:val="pl-PL"/>
    </w:rPr>
  </w:style>
  <w:style w:type="paragraph" w:styleId="743">
    <w:name w:val="Heading 1"/>
    <w:basedOn w:val="742"/>
    <w:uiPriority w:val="9"/>
    <w:qFormat/>
    <w:pPr>
      <w:pBdr/>
      <w:spacing/>
      <w:ind w:hanging="327" w:left="442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paragraph" w:styleId="744">
    <w:name w:val="Heading 2"/>
    <w:basedOn w:val="742"/>
    <w:uiPriority w:val="9"/>
    <w:unhideWhenUsed/>
    <w:qFormat/>
    <w:pPr>
      <w:pBdr/>
      <w:spacing/>
      <w:ind w:hanging="428" w:left="476"/>
      <w:jc w:val="both"/>
      <w:outlineLvl w:val="1"/>
    </w:pPr>
    <w:rPr>
      <w:b/>
      <w:bCs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table" w:styleId="748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9">
    <w:name w:val="Body Text"/>
    <w:basedOn w:val="742"/>
    <w:uiPriority w:val="1"/>
    <w:qFormat/>
    <w:pPr>
      <w:pBdr/>
      <w:spacing w:before="22"/>
      <w:ind w:hanging="361" w:left="1556"/>
    </w:pPr>
  </w:style>
  <w:style w:type="paragraph" w:styleId="750">
    <w:name w:val="Title"/>
    <w:basedOn w:val="742"/>
    <w:uiPriority w:val="10"/>
    <w:qFormat/>
    <w:pPr>
      <w:pBdr/>
      <w:spacing/>
      <w:ind w:right="490" w:left="500"/>
      <w:jc w:val="center"/>
    </w:pPr>
    <w:rPr>
      <w:rFonts w:ascii="Calibri Light" w:hAnsi="Calibri Light" w:eastAsia="Calibri Light" w:cs="Calibri Light"/>
      <w:sz w:val="40"/>
      <w:szCs w:val="40"/>
    </w:rPr>
  </w:style>
  <w:style w:type="paragraph" w:styleId="751">
    <w:name w:val="List Paragraph"/>
    <w:basedOn w:val="742"/>
    <w:uiPriority w:val="1"/>
    <w:qFormat/>
    <w:pPr>
      <w:pBdr/>
      <w:spacing w:before="22"/>
      <w:ind w:hanging="361" w:left="836"/>
    </w:pPr>
  </w:style>
  <w:style w:type="paragraph" w:styleId="752" w:customStyle="1">
    <w:name w:val="Table Paragraph"/>
    <w:basedOn w:val="742"/>
    <w:uiPriority w:val="1"/>
    <w:qFormat/>
    <w:pPr>
      <w:pBdr/>
      <w:spacing/>
      <w:ind/>
    </w:pPr>
  </w:style>
  <w:style w:type="character" w:styleId="753">
    <w:name w:val="Hyperlink"/>
    <w:basedOn w:val="74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54" w:customStyle="1">
    <w:name w:val="Unresolved Mention"/>
    <w:basedOn w:val="7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55">
    <w:name w:val="Header"/>
    <w:basedOn w:val="742"/>
    <w:link w:val="75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6" w:customStyle="1">
    <w:name w:val="Nagłówek Znak"/>
    <w:basedOn w:val="745"/>
    <w:link w:val="755"/>
    <w:uiPriority w:val="99"/>
    <w:pPr>
      <w:pBdr/>
      <w:spacing/>
      <w:ind/>
    </w:pPr>
    <w:rPr>
      <w:rFonts w:ascii="Calibri" w:hAnsi="Calibri" w:eastAsia="Calibri" w:cs="Calibri"/>
      <w:lang w:val="pl-PL"/>
    </w:rPr>
  </w:style>
  <w:style w:type="paragraph" w:styleId="757">
    <w:name w:val="Footer"/>
    <w:basedOn w:val="742"/>
    <w:link w:val="75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8" w:customStyle="1">
    <w:name w:val="Stopka Znak"/>
    <w:basedOn w:val="745"/>
    <w:link w:val="757"/>
    <w:uiPriority w:val="99"/>
    <w:pPr>
      <w:pBdr/>
      <w:spacing/>
      <w:ind/>
    </w:pPr>
    <w:rPr>
      <w:rFonts w:ascii="Calibri" w:hAnsi="Calibri" w:eastAsia="Calibri" w:cs="Calibri"/>
      <w:lang w:val="pl-PL"/>
    </w:rPr>
  </w:style>
  <w:style w:type="numbering" w:styleId="759" w:customStyle="1">
    <w:name w:val="Bieżąca lista1"/>
    <w:uiPriority w:val="99"/>
    <w:pPr>
      <w:numPr>
        <w:ilvl w:val="0"/>
        <w:numId w:val="15"/>
      </w:numPr>
      <w:pBdr/>
      <w:spacing/>
      <w:ind/>
    </w:pPr>
  </w:style>
  <w:style w:type="paragraph" w:styleId="760">
    <w:name w:val="Balloon Text"/>
    <w:basedOn w:val="742"/>
    <w:link w:val="76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61" w:customStyle="1">
    <w:name w:val="Tekst dymka Znak"/>
    <w:basedOn w:val="745"/>
    <w:link w:val="760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Dyl</dc:creator>
  <cp:revision>11</cp:revision>
  <dcterms:created xsi:type="dcterms:W3CDTF">2022-09-12T09:33:00Z</dcterms:created>
  <dcterms:modified xsi:type="dcterms:W3CDTF">2024-07-11T10:45:51Z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  <property fmtid="{D5CDD505-2E9C-101B-9397-08002B2CF9AE}" pid="5" name="Producer">
    <vt:lpwstr>Microsoft® Word 2016</vt:lpwstr>
  </property>
</Properties>
</file>