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6"/>
        <w:pBdr/>
        <w:spacing/>
        <w:ind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eastAsia="Times New Roman" w:cs="Times New Roman"/>
          <w:color w:val="0070c0"/>
          <w:sz w:val="24"/>
          <w:szCs w:val="24"/>
        </w:rPr>
      </w:r>
      <w:r>
        <w:rPr>
          <w:rFonts w:ascii="Times New Roman" w:hAnsi="Times New Roman" w:cs="Times New Roman"/>
          <w:color w:val="0070c0"/>
          <w:sz w:val="24"/>
          <w:szCs w:val="24"/>
        </w:rPr>
      </w:r>
      <w:r>
        <w:rPr>
          <w:rFonts w:ascii="Times New Roman" w:hAnsi="Times New Roman" w:cs="Times New Roman"/>
          <w:color w:val="0070c0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color w:val="365f9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Zaproszenie do składania ofert do zapytania ofertowego Nr </w:t>
      </w:r>
      <w:r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RPOZ.1.2024</w:t>
      </w:r>
      <w:r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w ramach Rządowego Programu Odbudowy Zabytków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65f9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365f91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65f91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1. Tytuł zamówienia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Konserwacja ściany zachodniej cerkwi p.w. Świętej Trójcy w Braniewie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tabs>
          <w:tab w:val="left" w:leader="none" w:pos="5130"/>
        </w:tabs>
        <w:spacing/>
        <w:ind/>
        <w:rPr>
          <w:rFonts w:ascii="Times New Roman" w:hAnsi="Times New Roman" w:cs="Times New Roman"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2. Nazwa i adres Zamawiającego 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ab/>
      </w:r>
      <w:r>
        <w:rPr>
          <w:rFonts w:ascii="Times New Roman" w:hAnsi="Times New Roman" w:cs="Times New Roman"/>
          <w:color w:val="365f91"/>
          <w:sz w:val="24"/>
          <w:szCs w:val="24"/>
        </w:rPr>
      </w:r>
      <w:r>
        <w:rPr>
          <w:rFonts w:ascii="Times New Roman" w:hAnsi="Times New Roman" w:cs="Times New Roman"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Parafia greckokatolicka p.w. Świętej Trójcy w Braniewie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ul. Moniuszki 14 B/3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14-500 Braniewo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Pełnomocnik Inwestora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Gmina Braniewo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ul. Moniuszki 5, 14-500 Braniewo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br/>
        <w:t xml:space="preserve">tel. 55 644 03 25 e-mail: oswiata@gminabraniewo.pl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Osoby do kontaktu: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Ks.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Piotr Hudko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Proboszcz Parafii 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el. 503 758 448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2.Alicja Lewandowska  Urząd Gminy w Braniewie55 644 03 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3. Informacje ogólne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Postępowanie prowadzi się z zachowaniem formy pisemnej.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Postępowanie o udzielenie zamówienia prowadzi się w języku polskim.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Zamawiający nie dopu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szcza składania ofert częściowych. Każdy Wykonawca może złożyć tylko jedną ofertę i zaproponować tylko jedną cenę. Złożenie przez Wykonawcę więcej niż jednej oferty lub oferty zawierającej rozwiązania wariantowe albo alternatywne spowoduje jej odrzucenie.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Złożona oferta musi uwzględniać wszystkie zobowiązania, obejmować wszystkie koszty i składniki związane z wykonaniem zamówienia.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Zamawiający zastrzega możliwość wezwania wykonawcy do złożenia, uzupełniania, poprawienia dokumentów związanych z postępowaniem.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Zamawiający zastrzega sobie prawo unieważnienia postępowania na każdym jego etapie, w szczególności w sytuacji kiedy najwyżej oceniona oferta przewyższać będzie przewidywaną wartość inwestycji wskazaną w promesie Nr RPOZ/2022/8496/PolskiLad.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Zamówienie udzielane jest w formie przetargu w oparciu o art. 70</w:t>
      </w:r>
      <w:r>
        <w:rPr>
          <w:rFonts w:hint="default" w:ascii="Cambria Math" w:hAnsi="Cambria Math" w:eastAsia="Cambria Math" w:cs="Cambria Math"/>
          <w:sz w:val="24"/>
          <w:szCs w:val="24"/>
          <w:highlight w:val="none"/>
        </w:rPr>
        <w:t xml:space="preserve">¹</w:t>
      </w:r>
      <w:r>
        <w:t xml:space="preserve"> ustawy </w:t>
      </w:r>
      <w:r>
        <w:t xml:space="preserve">z dnia 23 kwietnia 1964 r. Kodeks cywilny (t.j. Dz. U. z 2023 r. poz. 1610 z późn. zm.).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  <w:t xml:space="preserve">Niniejsze postępowanie nie podlega przepisom ustawy  Prawo Zamówień Publicznych. Prowadzone jest w sposób konkurencyjny i transparentny z zachowaniem zasad równego traktowania wykonawców, z uwzględnieniem </w:t>
      </w:r>
      <w:r>
        <w:rPr>
          <w:rFonts w:hint="default" w:ascii="Arial" w:hAnsi="Arial" w:eastAsia="Arial" w:cs="Arial"/>
          <w:highlight w:val="none"/>
        </w:rPr>
        <w:t xml:space="preserve">§</w:t>
      </w:r>
      <w:r>
        <w:rPr>
          <w:highlight w:val="none"/>
        </w:rPr>
        <w:t xml:space="preserve">8 ust. 6 Regulaminu Naboru winsoków o dofinansowanie z Rządowego Programu Ochrony Zabytków.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highlight w:val="none"/>
        </w:rPr>
      </w:pPr>
      <w:r>
        <w:rPr>
          <w:highlight w:val="none"/>
        </w:rPr>
        <w:t xml:space="preserve">Postępowanie prowadzone j</w:t>
      </w:r>
      <w:r>
        <w:rPr>
          <w:highlight w:val="none"/>
        </w:rPr>
        <w:t xml:space="preserve">est na podstawie Uchwały Nr v44/VIII/2024 Rady Gminy Braniewo z dnia 22 mraca 2024 r., w sprawie określenia zasad udzielenia dotacji na sfinansowanie prac konserwatorskich, restauratorskich lub robót budowlanych przy zabytku wpisanym do rejestru zabytków. </w:t>
      </w:r>
      <w:r>
        <w:rPr>
          <w:highlight w:val="none"/>
        </w:rPr>
      </w:r>
      <w:r>
        <w:rPr>
          <w:highlight w:val="none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sprawach nieuregulowanych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zastosowanie znajdują bezwzględnie obowiązujące przepisy prawa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 szczególności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ustawy z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dnia 23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kwietnia 1964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r. Kodeks cywilny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t.j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Dz.U. z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poz.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610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zm.) i Prawo budowlane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t.j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Dz.U.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 poz. 725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zm.).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W związku z zakwalifikowaniem inwestycji do otrzymania Promesy Inwestycyjnej (dalej: Promesa) ze środków Rządowego Programu Odbudowy Zabytków i uzyskaniem Wstępnej Promesy (Wstępna Promesa z dnia 27-07-2023r NR RPOZ/2022/11728/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PolskiLad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 dla realizacji i po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tępowania mają również zastosowanie zapisy wynikające z ww. programu, w tym dotyczące płatności i zapewnienia finansowania inwestycji przez Wykonawcę na czas poprzedzający wypłaty z Promesy na zasadach określonych w Promesie i Regulaminie do w/w programu.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Zamówienie publiczne dofinansowane jest w 95% z Rządowego Programu Odbudowy Zabytków</w:t>
      </w:r>
      <w:r>
        <w:rPr>
          <w:rFonts w:ascii="Times New Roman" w:hAnsi="Times New Roman" w:eastAsia="Times New Roman" w:cs="Times New Roman" w:eastAsiaTheme="minorEastAsia"/>
          <w:b w:val="0"/>
          <w:bCs w:val="0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</w:p>
    <w:p>
      <w:pPr>
        <w:pStyle w:val="976"/>
        <w:numPr>
          <w:ilvl w:val="0"/>
          <w:numId w:val="11"/>
        </w:numPr>
        <w:pBdr/>
        <w:spacing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Realizacja przedmiotu inwestycji jest dofinansowana z Rządowego Programu Odbudowy Zabytków, przyjętego na mocy uchwały Nr 232/2022 Rady Ministrów z dnia 23 listopada 2022 r. w sprawie ustanowienia Rządowego Programu Odbudowy Zabytków, wydanej n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a podstawie art. 69 ust. 1 ustawy z dnia 31 marca 2020 r. o zmianie ustawy o szczególnych rozwiązaniach związanych z zapobieganiem, przeciwdziałaniem i zwalczaniem COVID-19, innych chorób zakaźnych oraz wywołanych nimi sytuacji kryzysowych oraz niektórych 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innych ustaw (Dz.U. z 2020 r. poz. 568 z 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późn</w:t>
      </w:r>
      <w:r>
        <w:rPr>
          <w:rFonts w:ascii="Times New Roman" w:hAnsi="Times New Roman" w:eastAsia="Times New Roman" w:cs="Times New Roman" w:eastAsiaTheme="minorEastAsia"/>
          <w:color w:val="auto"/>
          <w:sz w:val="24"/>
          <w:szCs w:val="24"/>
        </w:rPr>
        <w:t xml:space="preserve">. zm.).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4. Opis przedmiotu zamówienia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62"/>
        <w:numPr>
          <w:ilvl w:val="0"/>
          <w:numId w:val="37"/>
        </w:numPr>
        <w:pBdr/>
        <w:spacing/>
        <w:ind w:right="0" w:hanging="283" w:left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Przedmiotem inwestycji jest ściana zachodnia cerkwi pod wezwaniem Świętej Trójcy wpisany do rejestru zabytków pod numerem A-427. Budynek kościoła jest własnością parafii greckokatolickiej.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62"/>
        <w:numPr>
          <w:ilvl w:val="0"/>
          <w:numId w:val="37"/>
        </w:numPr>
        <w:pBdr/>
        <w:spacing/>
        <w:ind w:right="0" w:hanging="283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Kościół gotycki , jednonawowy,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Posadowiony na planie wydłużonego prostokąta, od strony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północno wschodniej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zamkniętego trójbocznie. Od strony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zachodniej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zakrystia na planie kwadratu, od północnej kruchta, na planie prostokątnym, dłuższym bokiem przylegająca do ściany.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Bryła kościoła to prosta forma geometryczna.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Brak rozbudowanych podziałów architektonicznych i dekoracji rzeźbiarskich i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zachowanych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witraży.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Kościół zbudowany z cegły, posadowiony na fundamentach z głazów granitowych.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Ściana południowa wsparta niską szkarpą.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 xml:space="preserve">Budynek nakryty jest dachem dwuspadowym. Konstrukcja dachu krokwiowo-jętkowa wzmocniona zastrzałami. Dach pokryto dachówką holenderką na łatach drewnianych.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 xml:space="preserve">Kolorystyka  budowli – naturalny kolor cegły, stolarka budowlana – zielona.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 xml:space="preserve">Obiekt użytkowany jest jako czynny obiekt sakralny obrządku greckokatolickiego.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Prace prowadzone będą pod nadzorem merytorycznym Warmińsko - Mazurskiego Wojewódzkiego Konserwatora Zabytków.  Zakres prac: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 xml:space="preserve">Fotograficzna inwentaryzacja obiektu przed pracami i w ich trakcie.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Wzmacnianie pudrujących się spoin i cegieł.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Usunięcie licznych przemurowań i łat cementowych muru ponowna dezynfekcja miejsc zakażonych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Wykucie spoin cementowych, cementowo-wapiennych.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Wzmacnianie wstępne odsłanianych, zdezintegrowanych partii murów.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Oczyszczanie powierzchni elewacji.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Odsalanie obiektu.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Wypełnienie pęknięć , szpar i szczelin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Wypełnianie ubytków w murze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Scalenie kolorystyczne całości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38"/>
        </w:num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Hydrofobizacja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76"/>
        <w:pBdr/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Prace powinny zostać wykonane zgodnie z decyzją Warmińsko - Mazurskiego Wojewódzkiego Konserwatora Zabytków nr 1863/2022 z dnia 03.03.2023 r., stanowiącego załącznik nr 7 do zapytania.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Szczegółowy opis przedmiotu zamówienia określony został w „Stan zachowania ścian cerkwi p.w. Świętej Trójcy w Braniewie. Technologia prac konserwatorsk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ich. Cerkiew Parafii greckokatolickiej p.w. Świętej Trójcy w Braniewie, 14-500 Braniewo, ul. Kościuszki 11, działka nr 70 aut. Ewa Pytel, styczeń 2023”, stanowiący podstawę do wydania w/w decyzji Warmińsko – Mazurskiego Wojewódzkiego Konserwatora Zabytków.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Wykonawca zobowiązany jest do: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6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zawiadomienia Zamawiającego o wszystkich okolicznościach ujawnionych w toku prowadzonych prac, które mogę mieć wpływ na stan zachowania zabytku i zakres prowadzonych prac;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prowadzenia dokumentacji przebiegu wskazanych w pozwoleniu pra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 oraz opracowania ich wyników w sposób umożliwiający jednoznaczną identyfikację i dokładną lokalizację przestrzenną wszystkich czynności, użytych materiałów oraz dokonanych odkryć i przekazania ich Zamawiającemu nie później niż termin odbioru inwestycji.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Warunki dotyczące realizacji przedmiotu zamówienia zostały określone w projekcie umowy, stanowiącym załącznik nr 6 do zapytania oraz wynikają z przepisów prawa.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Wykonawcy ponoszą odpowied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zialność za zapoznanie się z należytą starannością z treścią dokumentacji dotyczącej zapytania ofertowego oraz za uzyskanie wiarygodnej informacji odnośnie warunków i zobowiązań, które w jakikolwiek sposób mogą wpłynąć na cenę oferty lub realizację robót.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Wspólny Słownik Zamówień CPV: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Kod CPV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45212350 - Budynki o szczególnej wartości historycznej lub architektonicznej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45453000 - Roboty remontowe i renowacyjne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Wykonawca zobowiązany jest do udzielenia okresu gwarancji jakości na przedmiot umowy nie krótszego niż 36 miesięcy, licząc od daty podpisania 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rotokołu odbioru końcowego, niezależnie od materiałów/urządzeń na które obowiązuje gwarancja jakości udzielona przez producenta. Dłuższy niż 36 miesięcy okres gwarancji będzie punktowany zgodnie z zasadami określonymi w rozdziale 15 niniejszego zapytania.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Wykonawca ponosił będzie pełną odpowiedzialność za szkody oraz następstwa nieszczęśliwych wypadków pracowników i osób trzecich, powstałych w związku z realizacją przedmiotu zamówienia w czasie od daty podpisania umowy do zakończenia przedmiotu zamówienia.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Cena musi zawi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erać wszelkie koszty niezbędne do zrealizowania zamówienia wynikające wprost z dokumentacji niniejszego zapytania ofertowego, jak również w niej nie ujęte, a które muszą być skalkulowane przez podmiot ubiegający się o realizację przedmiotowego zamówienia.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5. Wizja lokalna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</w:p>
    <w:p>
      <w:pPr>
        <w:pStyle w:val="976"/>
        <w:numPr>
          <w:ilvl w:val="0"/>
          <w:numId w:val="19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Zamawiający informuje, że ze względu na specyfikę postępowania, złożenie oferty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musi być poprzedzone odbyciem wizji lokalnej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9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Termin wizji lokalnej należy ustalić indywidu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alnie z Ks.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Piotrem Hudko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Proboszcz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Parafii pod nr tel.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503 758 448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 terminie nie późniejszym niż 7 dni przed upływem terminu składania ofert.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19"/>
        </w:numPr>
        <w:pBdr/>
        <w:spacing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Zamawiający informuje, iż nie dokonanie wizji lokalnej przez Wykonawcę będzie skutkować konsekwencjami w postaci odrzucenia oferty.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6. Termin wykonania zamówienia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numPr>
          <w:ilvl w:val="0"/>
          <w:numId w:val="20"/>
        </w:numPr>
        <w:pBdr/>
        <w:spacing w:after="21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Termin rozpoczęcia prac będących przedmiotem umowy ustala się na 5 dni od podpisania umowy.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0"/>
        </w:numPr>
        <w:pBdr/>
        <w:spacing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Wykonawca zrealizuje przedmiot zamówienia w terminie do 31.11.2025 r.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7. Warunki udziału w postępowaniu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 w:after="21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Zamawiający wymaga aby Wykonawca zapewnił do kierowania pracami w ramach zamówienia osoby posiadające następujące wykształcenie lub uprawnienia: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1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Osoba posiadająca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dyplom ukończenia studiów drugiego stopnia lub jednolitych studiów magisterskich w zakresie konserwacji restauracji elementów i detali architektonicznych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oraz która po rozpoczęciu studiów drugiego stopnia lub po zaliczeniu szóstego semestru jednolitych studiów magisterskich przez okres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 najmniej 9 miesięcy brała udział w pracach konserwatorskich, pracach restauratorskich lub badaniach konserwatorskich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prowadzonych przy zabytkach wpisanych do rejestru, inwentarza muzeum będącego instytucją kultury lub zaliczanych do jednej z kategorii, o których mowa w art. 14a ust. 2 ustawy o ochronie zabytków.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1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Osoba posiadająca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uprawnienia 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udowlane określone przepisami Prawa budowlanego oraz która przez co najmniej 18 miesięcy brała udział w robotach budowlanych prowadzonych przy zabytkach nieruchomych wpisanych do rejestru lub inwentarza muzeum będącego instytucją kultury – kierownik budowy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1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Osoba posiadająca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uprawnienia budowlane określone przepisami Prawa budowlanego oraz która przez co najmniej 18 miesięcy brała udział w robotach budowlanych prowadzonych przy zabytkach nieruchomych wpisanych do rejestru lub inwentarza muzeum będącego instytucją kultury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nadzór budowlany.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Wykonawca zobo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wiązany jest do złożenia wraz z ofertą Wykazu osób zgodnie z załącznikiem nr 4 do postępowania oraz protokołów odbioru prac konserwatorskich – w zakresie każdej z pozycji przedstawionej w wykazie osób. Jeżeli opis prac określonych w załączniku nr 4 oraz w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protokołach będzie niekompletny, niejednoznaczny lub nie będzie odpowiadał wymaganiom opisanym w zapytaniu, Zamawiający nie przyzna punktów za wykazany zakres prac.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Osoby pełniące funkcję kierownika budowy i nadzoru budowlanego składają stosowne oświadczenie 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spełnianiu warunków ustawowych  umożliwiających prace przy obiektach zabytkowych.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</w:p>
    <w:p>
      <w:pPr>
        <w:pStyle w:val="976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8. Wykluczenie wykonawcy z postępowania o udzielenie zamówienia publicznego lub konkursu o wartości mniejszej niż kwoty określone w art. 2 ust. 1 ustawy z dnia 11 września 2019 r. - Prawo zamówień publi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cznych lub z wyłączeniem stosowania tej ustawy, w związku z art. 7 ustawy z dnia 13 kwietnia 2022 r. o szczególnych rozwiązaniach w zakresie przeciwdziałania wspieraniu agresji na Ukrainę oraz służących ochronie bezpieczeństwa narodowego (Dz. U. poz. 835)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</w:p>
    <w:p>
      <w:pPr>
        <w:pStyle w:val="976"/>
        <w:numPr>
          <w:ilvl w:val="0"/>
          <w:numId w:val="41"/>
        </w:numPr>
        <w:pBdr/>
        <w:spacing/>
        <w:ind w:right="0" w:hanging="425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Zgodnie z art. 7 pkt 9 ustawy z dnia 13 kwietnia 2022 r. o szczególnych rozwiązaniach w zakre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sie przeciwdziałania wspieraniu agresji na Ukrainę oraz służących ochronie bezpieczeństwa narodowego (Dz. U. 2023 poz. 1497 z późn. zm.) o udzielenie niniejszego zamówienia nie może się ubiegać Wykonawca, który podlega wykluczeniu z udziału w postępowaniu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zamówienie publiczne z przyczyn (przesłanek) wskazanych w art. 7 pkt 1 ppkt 1 – 3 ustawy z dnia 13 kwietnia 2022 r. o szczególnych rozwiązaniach w zakresie przeciwdziałania wspieraniu agresji na Ukrainę oraz służących ochronie bezpieczeństwa narodowego.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1"/>
        </w:numPr>
        <w:pBdr/>
        <w:spacing/>
        <w:ind w:right="0" w:hanging="425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 związku z art. 7 pkt 3 ustawy z dnia 13 kwietnia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2022 r. o szczególnych rozwiązaniach w zakresie przeciwdziałania wspieraniu agresji na Ukrainę oraz służących ochronie bezpieczeństwa narodowego oferta wykonawcy lub uczestnika konkursu podlegającego wykluczeniu, o którym mowa powyżej, zostanie odrzucona.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1"/>
        </w:numPr>
        <w:pBdr/>
        <w:spacing/>
        <w:ind w:right="0" w:hanging="425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okoliczność braku przesłanek wykluczenia Wykonawca zobowiązany jest do złożenia oświadczenia, zgodnie z załącznikiem nr 2 do Zapytania.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1"/>
        </w:numPr>
        <w:pBdr/>
        <w:spacing/>
        <w:ind w:right="0" w:hanging="425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Podpisane oświadczenie winno być złożone wraz z ofertą.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1"/>
        </w:numPr>
        <w:pBdr/>
        <w:spacing/>
        <w:ind w:right="0" w:hanging="425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Niezłożenie przez Wykonawcę oświadczenia uprawnia Zamawiającego do wykluczenia Wykonawcy z przedmiotowego postępowania.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1"/>
        </w:numPr>
        <w:pBdr/>
        <w:spacing/>
        <w:ind w:right="0" w:hanging="425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Oświadczenie, jak wyżej, nie zamyka prawa Zamawiającego do dodatkowej (lub przeprowadzonej niezależnie od złożonego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oświadczenia jak wyżej) weryfikacji podstaw wykluczenia na podstawie art. 7 pkt. 1 ustawy z dnia 13 kwietnia 2022 r. o szczególnych rozwiązaniach w zakresie przeciwdziałania wspieraniu agresji na Ukrainę oraz służących ochronie bezpieczeństwa narodowego.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9. Sposób i miejsce publikacji zamówienia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Upublicznienie zapytania ofertowego poprzez umieszczenie zapytania na stronie internetowej Gminy Braniewo: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</w:r>
      <w:hyperlink r:id="rId10" w:tooltip="https://bipbraniewo.warmia.mazury.pl/" w:history="1">
        <w:r>
          <w:rPr>
            <w:rStyle w:val="939"/>
            <w:rFonts w:ascii="Times New Roman" w:hAnsi="Times New Roman" w:eastAsia="Times New Roman" w:cs="Times New Roman"/>
            <w:sz w:val="24"/>
            <w:szCs w:val="24"/>
          </w:rPr>
          <w:t xml:space="preserve">https://bipbraniewo.warmia.mazury.pl/</w:t>
        </w:r>
        <w:r>
          <w:rPr>
            <w:rStyle w:val="939"/>
            <w:rFonts w:ascii="Times New Roman" w:hAnsi="Times New Roman" w:eastAsia="Times New Roman" w:cs="Times New Roman"/>
            <w:sz w:val="24"/>
            <w:szCs w:val="24"/>
          </w:rPr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</w:r>
      <w:r>
        <w:rPr>
          <w:rFonts w:ascii="Times New Roman" w:hAnsi="Times New Roman" w:cs="Times New Roman"/>
          <w:color w:val="0000ff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color w:val="365f9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ff"/>
          <w:sz w:val="24"/>
          <w:szCs w:val="24"/>
        </w:rPr>
      </w:r>
      <w:r>
        <w:rPr>
          <w:rFonts w:ascii="Times New Roman" w:hAnsi="Times New Roman" w:cs="Times New Roman"/>
          <w:color w:val="0000ff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10. Miejsce, termin i forma składania ofert: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:highlight w:val="none"/>
        </w:rPr>
      </w:r>
    </w:p>
    <w:p>
      <w:pPr>
        <w:pStyle w:val="976"/>
        <w:numPr>
          <w:ilvl w:val="0"/>
          <w:numId w:val="42"/>
        </w:numPr>
        <w:pBdr/>
        <w:spacing/>
        <w:ind w:right="0" w:hanging="360" w:left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Kompletną i podpisaną przez upoważnioną/-e osobę/-y ofertę w formie papierowej wraz z załącznikami należy złożyć w zamkniętej kopercie w terminie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do dnia14.08.2024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r. do godz. 10:00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Urzędzie Gminy w Braniewie, ul. Moniuszki 5, I piętro, Sekretariat – pokój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2"/>
        </w:numPr>
        <w:pBdr/>
        <w:spacing/>
        <w:ind w:right="0" w:hanging="360" w:left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Oferty złożone po terminie nie będą rozpatrywane.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2"/>
        </w:numPr>
        <w:pBdr/>
        <w:spacing/>
        <w:ind w:right="0" w:hanging="360"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kopercie ze złożoną ofertą należy zamieścić dopisek: „Zapytanie ofertowe: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Konserwacja ściany zachodniej cerkwi p.w. Świętej Trójcy w Braniewie” – nie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otwierać przed 30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.08.202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godz. 10:15.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 w:right="0" w:hanging="360" w:left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11. Termin związania ofertą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Wykonawca będzie związany ofertą przez okres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60 dni od upływu terminu składania ofert.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12. Otwarcie ofert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Otwarcie ofert nastąpi: 30.08.2024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r. do godz. 10:15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13. Sposób przygotowania oferty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Oferta musi zawierać następujące oświadczenia i dokumenty: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7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Formularz ofertowy - załącznik nr 1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7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Oświadczenie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przedmiocie braku podstaw do wykluczenia wykonawcy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załącznik nr 2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7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Podpisane przez osoby upoważnione Zamawiającego oryginał oświadczenia o przeprowadzeniu wizji lokalnej – zgodnie z załącznikiem nr 3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7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Wykaz osób – zgodnie z załącznikiem nr 4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7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Poświadczone za zgodność z oryginałem protokoły bezusterkowego odb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ioru prac konserwatorskich – w zakresie każdej z pozycji przedstawionej w wykazie osób, a w przypadku pracy w zespole i braku wpisu danej osoby w protokole odbioru dodatkowo oświadczenie wykonawcy o składzie osobowym zespołu realizującego dany zakres prac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7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Poświadczona za zgodność z oryginałem kopia dyplomu ukończenia studiów wyższych magisterskich w zakresie konserwacji restauracji elementów i detali architektonicznych,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Jeżeli osoba podpisująca ofertę działa na podstaw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ie pełnomocnictwa, to pełnomocnictwo tej osoby musi być dołączone do oferty. Pełnomocnictwo może być złożone w formie oryginału lub kopii poświadczonej „za zgodność z oryginałem” przez osobę wymienioną w dokumencie rejestracyjnym (ewidencyjnym) Wykonawcy.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14. Opis sposobu obliczania ceny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numPr>
          <w:ilvl w:val="0"/>
          <w:numId w:val="25"/>
        </w:numPr>
        <w:pBdr/>
        <w:spacing w:after="23"/>
        <w:ind w:right="0" w:hanging="283"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Cena oferty powinna być wyrażona w polskich złotych z dokładnością do dwóch miejsc po przecinku.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5"/>
        </w:numPr>
        <w:pBdr/>
        <w:spacing/>
        <w:ind w:right="0" w:hanging="283"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Cena oferty może być tylko jedna, nie dopuszcza się wariantowości cen.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5"/>
        </w:numPr>
        <w:pBdr/>
        <w:spacing w:after="23"/>
        <w:ind w:right="0" w:hanging="283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Cenę oferty należy przedstawić na podstawie kalkulacji własnej, biorąc pod uwagę przedmiot zamówienia w zakresie określonym w niniejszej specyfikacji.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5"/>
        </w:numPr>
        <w:pBdr/>
        <w:spacing/>
        <w:ind w:right="0" w:hanging="283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Wszelkie rozliczenia dotyczące realizacji przedmiotu zamówienia opisanego w niniejszej specyfikacji dokonywane będą w złotych polskich.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15. Kryteria oceny ofert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76"/>
        <w:numPr>
          <w:ilvl w:val="0"/>
          <w:numId w:val="43"/>
        </w:numPr>
        <w:pBdr/>
        <w:spacing/>
        <w:ind w:right="0" w:hanging="283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Oferty w przedmiotowym postępowaniu będą ocenione na podstawie: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kryterium cena – znaczenie 40 pkt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kryterium gwarancja – 10 pkt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doświadczenie zawodowe osób kierujących pracami – 50 pkt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kryterium cena – znaczenie 40 pkt - X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44"/>
        </w:numPr>
        <w:pBdr/>
        <w:spacing/>
        <w:ind w:right="0" w:hanging="283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Pod pojęciem Cena należy rozumieć całkowity koszt wykonania przedmiotu zamówienia objętego niniejszym zamówieniem. Zamawiający będzie brał pod uwagę cenę ofertową brutto zamówienia podaną na formularzu ofertowym.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numPr>
          <w:ilvl w:val="0"/>
          <w:numId w:val="44"/>
        </w:numPr>
        <w:pBdr/>
        <w:spacing/>
        <w:ind w:right="0" w:hanging="283" w:left="425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Liczba punktów jaką można uzyskać w kryterium cena, obliczona zostanie na podstawie następującego wzoru: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 min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X =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x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40 pkt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 O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gdzie: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X – ilość punktów uzyskana przez daną ofertę 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 min – najniższa cena spośród ofert niepodlegających odrzuceniu i złożonych przez Wykonawców, którzy nie podlegali wykluczeniu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 – cena ocenianej oferty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Wykonawca może uzyskać maksymalnie 40 punktów w kryterium „cena”.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kryterium gwarancja – 10 pkt – G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976"/>
        <w:pBdr/>
        <w:spacing/>
        <w:ind w:right="0" w:firstLine="0" w:left="425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6"/>
        <w:numPr>
          <w:ilvl w:val="0"/>
          <w:numId w:val="44"/>
        </w:numPr>
        <w:pBdr/>
        <w:spacing/>
        <w:ind w:right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Przez gwarancję należy rozumieć oferowany przez Wykonawcę okres gwarancji jakości na przedmiot zamówienia (liczony w miesiącach), licząc od daty odbioru ostatecznego (końcowego).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6"/>
        <w:pBdr/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Ocena punktowa 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kryterium „gwarancja” dokonana zostanie na podstawie okresu gwarancji jakości na przedmiot zamówienia (liczonego w miesiącach), licząc od daty odbioru ostatecznego (końcowego), wskazanego przez Wykonawcę w ofercie i przeliczonego według poniższego wzoru: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Gb-36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 =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x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 pkt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 – ilość punktów uzyskana przez daną ofertę 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Gwarancja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Gb – okres gwarancji badanej oferty (w miesiącach)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Minimalny, wymagany przez Zamawiającego okres gwarancji wynosi 36 miesięcy. Zaoferowanie krótszego spowoduje odrzucenie oferty.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Maksymalny okres gwarancji wynosi 60 miesięcy. W przypadku zaoferowania okresu gwarancji dłuższego niż 60 miesięcy, Zamawiający przyzna 10 pkt w kryterium „gwarancja”, a do umowy zostanie przyjęty okres gwarancji wskazany przez Wykonawcę w ofercie.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 przypadku niewypełnienia w formularzu ofertowym pozycji dotyczącej „gwarancji" przez Wykonawcę, Zamawiający przyzna 0 pkt w kryterium „gwarancja” i przyjmuje minimalny okres gwarancji tj. 36 miesięcy.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425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kryterium doświadczenie zawodowe osób kierujących pracami – 50 pkt - DK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44"/>
        </w:num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Doświadczenie zawodowe osób kierujących pracami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oceniane będzie doświadczenie zawodowe osób kierujących i/lub nadzorujących pracami będącymi przedmiotem zamówienia, spełniające warunki udziału w postępowaniu, określonymi w rozdziale 7 ust. 1 zapytania.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firstLine="0"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Punkty będą przyznawane, na pod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stawie ilości zrealizowanych (kierowanych i/lub nadzorowanych), pod nadzorem odpowiedniego Urzędu Ochrony Zabytków lub równoważnej instytucji kultury (np. muzeum), prac konserwatorskich/ restauratorskich. Prace wykonywane mogą być osobiście lub w zespole.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 w:right="0" w:firstLine="0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Punkty przyznane zostaną na podstawie zaznaczonej opcji w formularzu ofertowym oraz na podstawie wypełnionego wykazu osób stanowiącego załącznik nr 4 do zapytania opisującego dorobek zawodowy osób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(suma doświadczenia dla osoby/osób określonych w rozdziale 7 ust. 1 pkt 1) i 2) zapytania) skierowanych do kierowania i/lub nadzorowania pracami, a także na podstawie protokołów odbioru prac konserwatorskich potwierdzających należyte wykonanie tych prac: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4"/>
        <w:ind w:right="0" w:firstLine="0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0 punktów - wyłącznie 9 miesięczne doświadczenie zawodowe podczas odbywania studiów w pracach konserwatorskic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h, pracach restauratorskich lub badaniach konserwatorskich, prowadzonych przy zabytkach wpisanych do rejestru, inwentarza muzeum będącego instytucją kultury lub zaliczanych do jednej z kategorii, o których mowa w art. 14a ust. 2 ustawy o ochronie zabytków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4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10 pkt - Od 1 do 5 dodatkowych prac konserwatorskich / restauratorskich spełniających wymagania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4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20 pkt - Od 6 do 10 dodatkowych prac konserwatorskich / restauratorskich spełniających wymagania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4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30 pkt - Od 11 do 15 dodatkowych prac konserwatorskich / restauratorskich spełniających wymagania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4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40 pkt – Od 16 do 20 dodatkowych prac konserwatorskich / restauratorskich spełniających wymagania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50 pkt - powyżej 20 dodatkowych prac konserwatorskich / restauratorskich spełniających wymagania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* W przypadku nie zaznaczenia żadnej pozycji lub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zaznaczenia więcej niż 1 pozycji w formularzu ofertowym, Zamawiający dokona oceny posiadanego dorobku na podstawie wykazu osób i przyzna na tej podstawie odpowiednią ilość punktów w kryterium dotyczącym „doświadczenia zawodowego osób kierujących pracami”.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Maksymalna ilość punktów jaką może uzyskać oferta 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doświadczenia zawodowego osób kierujących pracami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50 pkt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Łączna ilość punktów dla poszczególnych ofert w zakresie każdej części zostanie ustalona wg wzoru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 = X + G +DK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gdzie: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– ilość punktów uzyskana przez daną ofertę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X – ilość punktów uzyskana przez daną ofertę 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 – ilość punktów uzyskana przez daną ofertę 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Gwarancja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DK – ilość punktów uzyskana przez daną ofertę w kryterium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Doświadczenie zawodowe osób kierujących pracami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8"/>
        </w:numPr>
        <w:pBdr/>
        <w:spacing w:after="23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Zamawiający udzieli zamówienia Wykonawcy, którego oferta odpowiadać będzie wszystkim wymaganiom przedstawionym w zapytaniu ofertowym wraz z załącznikami i zostanie oceniona jako najkorzystniejsza w oparciu o podane kryteria wyboru.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8"/>
        </w:numPr>
        <w:pBdr/>
        <w:spacing w:after="23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Maksymalna liczba punktów, jaką może otrzymać Wykonawca to 100.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8"/>
        </w:numPr>
        <w:pBdr/>
        <w:spacing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Jeżeli zamawiający nie może dokonać wyboru oferty najkorzystniejszej ze względu na to, że zostały złożone oferty o ta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kiej punktacji, Zamawiający wezwie wykonawców, którzy złożyli te oferty, do złożenia w terminie określonym przez Zamawiającego oferty dodatkowej. Wykonawcy, składając oferty dodatkowe, nie mogą zaoferować cen wyższych niż zaoferowane w złożonych ofertach.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16. Klauzula informacyjna: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5f91"/>
          <w:sz w:val="24"/>
          <w:szCs w:val="24"/>
        </w:rPr>
      </w:r>
      <w:r>
        <w:rPr>
          <w:rFonts w:ascii="Times New Roman" w:hAnsi="Times New Roman" w:cs="Times New Roman"/>
          <w:color w:val="365f91"/>
          <w:sz w:val="24"/>
          <w:szCs w:val="24"/>
        </w:rPr>
      </w:r>
    </w:p>
    <w:p>
      <w:pPr>
        <w:pStyle w:val="976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Zgodnie 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art. 13 ust. 1 i ust. 2 Rozporządzenia Parlamentu Europejskiego i Rady (UE) 2016/679 z dnia 27 kwietnia 2016 r. w sprawie ochrony osób fizycznych w związku z przetwarzaniem danych osobowych i w sprawie swobodnego przepływu takich danych), informujemy, iż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Administratorem Pani/Pana danych osobowych jest Parafia greckokatolicka p.w. Świętej Trójcy w Braniewie.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Dane osobowe będą przetwarzane wyłącznie w celu realizacji zadania – Konserwacja ściany zachodniej cerkwi p.w. Świętej Trójcy w Braniewie.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Pani/Pana dane osobowe przetwarzane będą w celu wyłonienia wykonawcy i zawarcia umowy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odbiorcą Pani/Pana danych osobowych będą podmioty upoważnione na podstawie przepisów prawa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Pani/Pana dane osobowe nie będą przekazywane do państwa trzeciego/organizacji międzynarodowej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Pani/Pana dane osobowe będą przechowywane przez okres niezbędny do realizacji celu, w którym zostały pozyskane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posiada Pani/Pan prawo dostępu do treści swoich danych oraz prawo ich sprostowania, usunięcia, ograniczenia przetwarzania, praw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do przenoszenia danych, prawo wniesienia sprzeciwu, prawo do cofnięcia zgody w dowolnym momencie bez wpływu na zgodność z prawem przetwarzania (jeżeli przetwarzanie odbywa się na podstawie zgody), którego dokonano na podstawie zgody przed jej cofnięciem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 w:after="38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 Pan/Pani prawo wniesienia skargi do Urzędu Ochrony Danych Osobowych gdy uzna Pani/Pan, iż przetwarzanie danych osobowych Pani/Pana dotyczących narusza przepisy ogólnego rozporządzenia o ochronie danych osobowych z dnia 27 kwietnia 2016 r.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29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podanie przez Pana/Panią danych osobowych w zakresie wymaganym ustawodawstwem jest obligatoryjne, a w pozostałych przypadkach ma charakter dobrowolny.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17. Informacje o formalnościach, jakie powinny być dopełnione po wyborze oferty w celu zawarcia umowy</w:t>
      </w:r>
      <w:r>
        <w:rPr>
          <w:rFonts w:ascii="Times New Roman" w:hAnsi="Times New Roman" w:eastAsia="Times New Roman" w:cs="Times New Roman"/>
          <w:color w:val="365f9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30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Wykonawca będzie zobowiązany do podpisania umowy w miejscu i terminie wskazanym przez Zamawiającego.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0"/>
          <w:numId w:val="30"/>
        </w:numPr>
        <w:pBdr/>
        <w:spacing w:after="21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Wykonawca, którego oferta została wybrana w porozumieniu z Zamawiającym opracują szczegółowy harmonogram prac. Harmonogram stanowił będzie załącznik do umowy.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9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pBdr/>
        <w:spacing w:after="29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Złączniki: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Formularz – załącznik nr 1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przedmiocie braku podstaw do wykluczenia wykonawcy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załącznik nr 2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Oświadczenia o przeprowadzeniu wizji lokalnej – załącznik nr 3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Wykaz osób i posiadanego dorobku zawodowego – załącznik nr 4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Przedmiar prac – załącznik nr 5 do zapytania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 w:after="29"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Projekt umowy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Pozwolenie WMWKZ i program prac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6"/>
        <w:numPr>
          <w:ilvl w:val="1"/>
          <w:numId w:val="30"/>
        </w:numPr>
        <w:pBdr/>
        <w:spacing/>
        <w:ind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Decyzja Starosty Braniewskiego – Pozwolenie na budowę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428" w:left="543"/>
      </w:pPr>
      <w:rPr>
        <w:rFonts w:hint="default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Arial" w:hAnsi="Arial" w:cs="Arial"/>
        <w:b w:val="0"/>
        <w:bCs w:val="0"/>
        <w:i w:val="0"/>
        <w:iCs/>
        <w:sz w:val="20"/>
        <w:szCs w:val="20"/>
        <w:vertAlign w:val="baseli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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1134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5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7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4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1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8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3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055"/>
      </w:pPr>
      <w:rPr/>
      <w:start w:val="1"/>
      <w:suff w:val="tab"/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8"/>
  </w:num>
  <w:num w:numId="5">
    <w:abstractNumId w:val="14"/>
  </w:num>
  <w:num w:numId="6">
    <w:abstractNumId w:val="13"/>
  </w:num>
  <w:num w:numId="7">
    <w:abstractNumId w:val="23"/>
  </w:num>
  <w:num w:numId="8">
    <w:abstractNumId w:val="16"/>
  </w:num>
  <w:num w:numId="9">
    <w:abstractNumId w:val="11"/>
  </w:num>
  <w:num w:numId="10">
    <w:abstractNumId w:val="20"/>
  </w:num>
  <w:num w:numId="11">
    <w:abstractNumId w:val="17"/>
  </w:num>
  <w:num w:numId="12">
    <w:abstractNumId w:val="6"/>
  </w:num>
  <w:num w:numId="13">
    <w:abstractNumId w:val="27"/>
  </w:num>
  <w:num w:numId="14">
    <w:abstractNumId w:val="9"/>
  </w:num>
  <w:num w:numId="15">
    <w:abstractNumId w:val="15"/>
  </w:num>
  <w:num w:numId="16">
    <w:abstractNumId w:val="5"/>
  </w:num>
  <w:num w:numId="17">
    <w:abstractNumId w:val="28"/>
  </w:num>
  <w:num w:numId="18">
    <w:abstractNumId w:val="3"/>
  </w:num>
  <w:num w:numId="19">
    <w:abstractNumId w:val="22"/>
  </w:num>
  <w:num w:numId="20">
    <w:abstractNumId w:val="8"/>
  </w:num>
  <w:num w:numId="21">
    <w:abstractNumId w:val="1"/>
  </w:num>
  <w:num w:numId="22">
    <w:abstractNumId w:val="25"/>
  </w:num>
  <w:num w:numId="23">
    <w:abstractNumId w:val="10"/>
  </w:num>
  <w:num w:numId="24">
    <w:abstractNumId w:val="2"/>
  </w:num>
  <w:num w:numId="25">
    <w:abstractNumId w:val="7"/>
  </w:num>
  <w:num w:numId="26">
    <w:abstractNumId w:val="12"/>
  </w:num>
  <w:num w:numId="27">
    <w:abstractNumId w:val="4"/>
  </w:num>
  <w:num w:numId="28">
    <w:abstractNumId w:val="24"/>
  </w:num>
  <w:num w:numId="29">
    <w:abstractNumId w:val="29"/>
  </w:num>
  <w:num w:numId="30">
    <w:abstractNumId w:val="0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5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5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3">
    <w:name w:val="Heading 1 Char"/>
    <w:basedOn w:val="959"/>
    <w:link w:val="9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4">
    <w:name w:val="Heading 2"/>
    <w:basedOn w:val="957"/>
    <w:next w:val="957"/>
    <w:link w:val="7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basedOn w:val="959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6">
    <w:name w:val="Heading 3"/>
    <w:basedOn w:val="957"/>
    <w:next w:val="95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basedOn w:val="959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957"/>
    <w:next w:val="95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9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7"/>
    <w:next w:val="95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9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7"/>
    <w:next w:val="957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9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7"/>
    <w:next w:val="957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basedOn w:val="959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7"/>
    <w:next w:val="957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basedOn w:val="959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7"/>
    <w:next w:val="957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basedOn w:val="959"/>
    <w:link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  <w:pPr>
      <w:pBdr/>
      <w:spacing w:after="0" w:before="0" w:line="240" w:lineRule="auto"/>
      <w:ind/>
    </w:pPr>
  </w:style>
  <w:style w:type="paragraph" w:styleId="801">
    <w:name w:val="Title"/>
    <w:basedOn w:val="957"/>
    <w:next w:val="957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>
    <w:name w:val="Title Char"/>
    <w:basedOn w:val="959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957"/>
    <w:next w:val="957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>
    <w:name w:val="Subtitle Char"/>
    <w:basedOn w:val="959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957"/>
    <w:next w:val="957"/>
    <w:link w:val="806"/>
    <w:uiPriority w:val="29"/>
    <w:qFormat/>
    <w:pPr>
      <w:pBdr/>
      <w:spacing/>
      <w:ind w:right="720" w:left="720"/>
    </w:pPr>
    <w:rPr>
      <w:i/>
    </w:rPr>
  </w:style>
  <w:style w:type="character" w:styleId="806">
    <w:name w:val="Quote Char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957"/>
    <w:next w:val="957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08">
    <w:name w:val="Intense Quote Char"/>
    <w:link w:val="807"/>
    <w:uiPriority w:val="30"/>
    <w:pPr>
      <w:pBdr/>
      <w:spacing/>
      <w:ind/>
    </w:pPr>
    <w:rPr>
      <w:i/>
    </w:rPr>
  </w:style>
  <w:style w:type="character" w:styleId="809">
    <w:name w:val="Header Char"/>
    <w:basedOn w:val="959"/>
    <w:link w:val="963"/>
    <w:uiPriority w:val="99"/>
    <w:pPr>
      <w:pBdr/>
      <w:spacing/>
      <w:ind/>
    </w:pPr>
  </w:style>
  <w:style w:type="character" w:styleId="810">
    <w:name w:val="Footer Char"/>
    <w:basedOn w:val="959"/>
    <w:link w:val="965"/>
    <w:uiPriority w:val="99"/>
    <w:pPr>
      <w:pBdr/>
      <w:spacing/>
      <w:ind/>
    </w:pPr>
  </w:style>
  <w:style w:type="paragraph" w:styleId="811">
    <w:name w:val="Caption"/>
    <w:basedOn w:val="957"/>
    <w:next w:val="9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965"/>
    <w:uiPriority w:val="99"/>
    <w:pPr>
      <w:pBdr/>
      <w:spacing/>
      <w:ind/>
    </w:pPr>
  </w:style>
  <w:style w:type="table" w:styleId="813">
    <w:name w:val="Table Grid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basedOn w:val="957"/>
    <w:link w:val="94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1">
    <w:name w:val="Footnote Text Char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959"/>
    <w:uiPriority w:val="99"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57"/>
    <w:link w:val="94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4">
    <w:name w:val="Endnote Text Char"/>
    <w:link w:val="943"/>
    <w:uiPriority w:val="99"/>
    <w:pPr>
      <w:pBdr/>
      <w:spacing/>
      <w:ind/>
    </w:pPr>
    <w:rPr>
      <w:sz w:val="20"/>
    </w:rPr>
  </w:style>
  <w:style w:type="character" w:styleId="945">
    <w:name w:val="end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paragraph" w:styleId="946">
    <w:name w:val="toc 1"/>
    <w:basedOn w:val="957"/>
    <w:next w:val="957"/>
    <w:uiPriority w:val="39"/>
    <w:unhideWhenUsed/>
    <w:pPr>
      <w:pBdr/>
      <w:spacing w:after="57"/>
      <w:ind w:right="0" w:firstLine="0" w:left="0"/>
    </w:pPr>
  </w:style>
  <w:style w:type="paragraph" w:styleId="947">
    <w:name w:val="toc 2"/>
    <w:basedOn w:val="957"/>
    <w:next w:val="957"/>
    <w:uiPriority w:val="39"/>
    <w:unhideWhenUsed/>
    <w:pPr>
      <w:pBdr/>
      <w:spacing w:after="57"/>
      <w:ind w:right="0" w:firstLine="0" w:left="283"/>
    </w:pPr>
  </w:style>
  <w:style w:type="paragraph" w:styleId="948">
    <w:name w:val="toc 3"/>
    <w:basedOn w:val="957"/>
    <w:next w:val="957"/>
    <w:uiPriority w:val="39"/>
    <w:unhideWhenUsed/>
    <w:pPr>
      <w:pBdr/>
      <w:spacing w:after="57"/>
      <w:ind w:right="0" w:firstLine="0" w:left="567"/>
    </w:pPr>
  </w:style>
  <w:style w:type="paragraph" w:styleId="949">
    <w:name w:val="toc 4"/>
    <w:basedOn w:val="957"/>
    <w:next w:val="957"/>
    <w:uiPriority w:val="39"/>
    <w:unhideWhenUsed/>
    <w:pPr>
      <w:pBdr/>
      <w:spacing w:after="57"/>
      <w:ind w:right="0" w:firstLine="0" w:left="850"/>
    </w:pPr>
  </w:style>
  <w:style w:type="paragraph" w:styleId="950">
    <w:name w:val="toc 5"/>
    <w:basedOn w:val="957"/>
    <w:next w:val="957"/>
    <w:uiPriority w:val="39"/>
    <w:unhideWhenUsed/>
    <w:pPr>
      <w:pBdr/>
      <w:spacing w:after="57"/>
      <w:ind w:right="0" w:firstLine="0" w:left="1134"/>
    </w:pPr>
  </w:style>
  <w:style w:type="paragraph" w:styleId="951">
    <w:name w:val="toc 6"/>
    <w:basedOn w:val="957"/>
    <w:next w:val="957"/>
    <w:uiPriority w:val="39"/>
    <w:unhideWhenUsed/>
    <w:pPr>
      <w:pBdr/>
      <w:spacing w:after="57"/>
      <w:ind w:right="0" w:firstLine="0" w:left="1417"/>
    </w:pPr>
  </w:style>
  <w:style w:type="paragraph" w:styleId="952">
    <w:name w:val="toc 7"/>
    <w:basedOn w:val="957"/>
    <w:next w:val="957"/>
    <w:uiPriority w:val="39"/>
    <w:unhideWhenUsed/>
    <w:pPr>
      <w:pBdr/>
      <w:spacing w:after="57"/>
      <w:ind w:right="0" w:firstLine="0" w:left="1701"/>
    </w:pPr>
  </w:style>
  <w:style w:type="paragraph" w:styleId="953">
    <w:name w:val="toc 8"/>
    <w:basedOn w:val="957"/>
    <w:next w:val="957"/>
    <w:uiPriority w:val="39"/>
    <w:unhideWhenUsed/>
    <w:pPr>
      <w:pBdr/>
      <w:spacing w:after="57"/>
      <w:ind w:right="0" w:firstLine="0" w:left="1984"/>
    </w:pPr>
  </w:style>
  <w:style w:type="paragraph" w:styleId="954">
    <w:name w:val="toc 9"/>
    <w:basedOn w:val="957"/>
    <w:next w:val="957"/>
    <w:uiPriority w:val="39"/>
    <w:unhideWhenUsed/>
    <w:pPr>
      <w:pBdr/>
      <w:spacing w:after="57"/>
      <w:ind w:right="0" w:firstLine="0" w:left="2268"/>
    </w:p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7" w:default="1">
    <w:name w:val="Normal"/>
    <w:qFormat/>
    <w:pPr>
      <w:pBdr/>
      <w:spacing/>
      <w:ind/>
    </w:pPr>
  </w:style>
  <w:style w:type="paragraph" w:styleId="958">
    <w:name w:val="Heading 1"/>
    <w:basedOn w:val="957"/>
    <w:next w:val="957"/>
    <w:link w:val="96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959" w:default="1">
    <w:name w:val="Default Paragraph Font"/>
    <w:uiPriority w:val="1"/>
    <w:semiHidden/>
    <w:unhideWhenUsed/>
    <w:pPr>
      <w:pBdr/>
      <w:spacing/>
      <w:ind/>
    </w:p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paragraph" w:styleId="962">
    <w:name w:val="List Paragraph"/>
    <w:basedOn w:val="957"/>
    <w:link w:val="967"/>
    <w:uiPriority w:val="34"/>
    <w:qFormat/>
    <w:pPr>
      <w:pBdr/>
      <w:spacing/>
      <w:ind w:left="720"/>
      <w:contextualSpacing w:val="true"/>
    </w:pPr>
  </w:style>
  <w:style w:type="paragraph" w:styleId="963">
    <w:name w:val="Header"/>
    <w:basedOn w:val="957"/>
    <w:link w:val="96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4" w:customStyle="1">
    <w:name w:val="Nagłówek Znak"/>
    <w:basedOn w:val="959"/>
    <w:link w:val="963"/>
    <w:uiPriority w:val="99"/>
    <w:pPr>
      <w:pBdr/>
      <w:spacing/>
      <w:ind/>
    </w:pPr>
  </w:style>
  <w:style w:type="paragraph" w:styleId="965">
    <w:name w:val="Footer"/>
    <w:basedOn w:val="957"/>
    <w:link w:val="96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6" w:customStyle="1">
    <w:name w:val="Stopka Znak"/>
    <w:basedOn w:val="959"/>
    <w:link w:val="965"/>
    <w:uiPriority w:val="99"/>
    <w:pPr>
      <w:pBdr/>
      <w:spacing/>
      <w:ind/>
    </w:pPr>
  </w:style>
  <w:style w:type="character" w:styleId="967" w:customStyle="1">
    <w:name w:val="Akapit z listą Znak"/>
    <w:link w:val="962"/>
    <w:uiPriority w:val="34"/>
    <w:qFormat/>
    <w:pPr>
      <w:pBdr/>
      <w:spacing/>
      <w:ind/>
    </w:pPr>
  </w:style>
  <w:style w:type="character" w:styleId="968" w:customStyle="1">
    <w:name w:val="Nagłówek 1 Znak"/>
    <w:basedOn w:val="959"/>
    <w:link w:val="958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969">
    <w:name w:val="annotation reference"/>
    <w:basedOn w:val="95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0">
    <w:name w:val="annotation text"/>
    <w:basedOn w:val="957"/>
    <w:link w:val="97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71" w:customStyle="1">
    <w:name w:val="Tekst komentarza Znak"/>
    <w:basedOn w:val="959"/>
    <w:link w:val="970"/>
    <w:uiPriority w:val="99"/>
    <w:semiHidden/>
    <w:pPr>
      <w:pBdr/>
      <w:spacing/>
      <w:ind/>
    </w:pPr>
    <w:rPr>
      <w:sz w:val="20"/>
      <w:szCs w:val="20"/>
    </w:rPr>
  </w:style>
  <w:style w:type="paragraph" w:styleId="972">
    <w:name w:val="annotation subject"/>
    <w:basedOn w:val="970"/>
    <w:next w:val="970"/>
    <w:link w:val="973"/>
    <w:uiPriority w:val="99"/>
    <w:semiHidden/>
    <w:unhideWhenUsed/>
    <w:pPr>
      <w:pBdr/>
      <w:spacing/>
      <w:ind/>
    </w:pPr>
    <w:rPr>
      <w:b/>
      <w:bCs/>
    </w:rPr>
  </w:style>
  <w:style w:type="character" w:styleId="973" w:customStyle="1">
    <w:name w:val="Temat komentarza Znak"/>
    <w:basedOn w:val="971"/>
    <w:link w:val="97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74">
    <w:name w:val="Balloon Text"/>
    <w:basedOn w:val="957"/>
    <w:link w:val="97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5" w:customStyle="1">
    <w:name w:val="Tekst dymka Znak"/>
    <w:basedOn w:val="959"/>
    <w:link w:val="9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6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bipbraniewo.warmia.mazury.p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dosto</dc:creator>
  <cp:revision>28</cp:revision>
  <dcterms:created xsi:type="dcterms:W3CDTF">2023-12-13T22:47:00Z</dcterms:created>
  <dcterms:modified xsi:type="dcterms:W3CDTF">2024-08-21T09:25:08Z</dcterms:modified>
</cp:coreProperties>
</file>