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76"/>
        <w:pBdr/>
        <w:spacing/>
        <w:ind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eastAsia="Times New Roman" w:cs="Times New Roman"/>
          <w:color w:val="0070c0"/>
          <w:sz w:val="24"/>
          <w:szCs w:val="24"/>
        </w:rPr>
      </w:r>
      <w:r>
        <w:rPr>
          <w:rFonts w:ascii="Times New Roman" w:hAnsi="Times New Roman" w:cs="Times New Roman"/>
          <w:color w:val="0070c0"/>
          <w:sz w:val="24"/>
          <w:szCs w:val="24"/>
        </w:rPr>
      </w:r>
      <w:r>
        <w:rPr>
          <w:rFonts w:ascii="Times New Roman" w:hAnsi="Times New Roman" w:cs="Times New Roman"/>
          <w:color w:val="0070c0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eastAsia="Times New Roman" w:cs="Times New Roman"/>
          <w:color w:val="365f9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70c0"/>
          <w:sz w:val="24"/>
          <w:szCs w:val="24"/>
        </w:rPr>
        <w:t xml:space="preserve">Zaproszenie do składania ofert do zapytania ofertowego Nr </w:t>
      </w:r>
      <w:r>
        <w:rPr>
          <w:rFonts w:ascii="Times New Roman" w:hAnsi="Times New Roman" w:eastAsia="Times New Roman" w:cs="Times New Roman"/>
          <w:color w:val="0070c0"/>
          <w:sz w:val="24"/>
          <w:szCs w:val="24"/>
        </w:rPr>
        <w:t xml:space="preserve">RPOZ.1.2024</w:t>
      </w:r>
      <w:r>
        <w:rPr>
          <w:rFonts w:ascii="Times New Roman" w:hAnsi="Times New Roman" w:eastAsia="Times New Roman" w:cs="Times New Roman"/>
          <w:color w:val="0070c0"/>
          <w:sz w:val="24"/>
          <w:szCs w:val="24"/>
        </w:rPr>
        <w:t xml:space="preserve"> w ramach Rządowego Programu Odbudowy Zabytków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65f9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365f91"/>
          <w:sz w:val="24"/>
          <w:szCs w:val="24"/>
          <w:highlight w:val="none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65f91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</w:rPr>
        <w:t xml:space="preserve">1. Tytuł zamówienia </w:t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Konserwacja ściany zachodniej cerkwi p.w. Świętej Trójcy w Braniewie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tabs>
          <w:tab w:val="left" w:leader="none" w:pos="5130"/>
        </w:tabs>
        <w:spacing/>
        <w:ind/>
        <w:rPr>
          <w:rFonts w:ascii="Times New Roman" w:hAnsi="Times New Roman" w:cs="Times New Roman"/>
          <w:color w:val="365f9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</w:rPr>
        <w:t xml:space="preserve">2. Nazwa i adres Zamawiającego 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ab/>
      </w:r>
      <w:r>
        <w:rPr>
          <w:rFonts w:ascii="Times New Roman" w:hAnsi="Times New Roman" w:cs="Times New Roman"/>
          <w:color w:val="365f91"/>
          <w:sz w:val="24"/>
          <w:szCs w:val="24"/>
        </w:rPr>
      </w:r>
      <w:r>
        <w:rPr>
          <w:rFonts w:ascii="Times New Roman" w:hAnsi="Times New Roman" w:cs="Times New Roman"/>
          <w:color w:val="365f91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Parafia greckokatolicka p.w. Świętej Trójcy w Braniewie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ul. Moniuszki 14 B/3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14-500 Braniewo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976"/>
        <w:pBdr/>
        <w:spacing/>
        <w:ind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Pełnomocnik Inwestora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976"/>
        <w:pBdr/>
        <w:spacing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Gmina Braniewo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976"/>
        <w:pBdr/>
        <w:spacing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ul. Moniuszki 5, 14-500 Braniewo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br/>
        <w:t xml:space="preserve">tel. 55 644 03 25 e-mail: oswiata@gminabraniewo.pl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976"/>
        <w:pBdr/>
        <w:spacing/>
        <w:ind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Osoby do kontaktu: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Ks.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Piotr Hudko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– Proboszcz Parafii t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el. 503 758 448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2.Alicja Lewandowska  Urząd Gminy w Braniewie55 644 03 25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</w:rPr>
        <w:t xml:space="preserve">3. Informacje ogólne </w:t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</w:p>
    <w:p>
      <w:pPr>
        <w:pStyle w:val="976"/>
        <w:numPr>
          <w:ilvl w:val="0"/>
          <w:numId w:val="11"/>
        </w:numPr>
        <w:pBdr/>
        <w:spacing w:after="21"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Postępowanie prowadzi się z zachowaniem formy pisemnej.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11"/>
        </w:numPr>
        <w:pBdr/>
        <w:spacing w:after="21"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Postępowanie o udzielenie zamówienia prowadzi się w języku polskim.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11"/>
        </w:numPr>
        <w:pBdr/>
        <w:spacing w:after="21"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Zamawiający nie dopu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szcza składania ofert częściowych. Każdy Wykonawca może złożyć tylko jedną ofertę i zaproponować tylko jedną cenę. Złożenie przez Wykonawcę więcej niż jednej oferty lub oferty zawierającej rozwiązania wariantowe albo alternatywne spowoduje jej odrzucenie.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11"/>
        </w:numPr>
        <w:pBdr/>
        <w:spacing w:after="21"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Złożona oferta musi uwzględniać wszystkie zobowiązania, obejmować wszystkie koszty i składniki związane z wykonaniem zamówienia.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11"/>
        </w:numPr>
        <w:pBdr/>
        <w:spacing w:after="21"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Zamawiający zastrzega możliwość wezwania wykonawcy do złożenia, uzupełniania, poprawienia dokumentów związanych z postępowaniem.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11"/>
        </w:numPr>
        <w:pBdr/>
        <w:spacing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Zamawiający zastrzega sobie prawo unieważnienia postępowania na każdym jego etapie, w szczególności w sytuacji kiedy najwyżej oceniona oferta przewyższać będzie przewidywaną wartość inwestycji wskazaną w promesie Nr RPOZ/2022/8496/PolskiLad.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11"/>
        </w:numPr>
        <w:pBdr/>
        <w:spacing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Zamówienie udzielane jest w formie przetargu w oparciu o art. 70</w:t>
      </w:r>
      <w:r>
        <w:rPr>
          <w:rFonts w:hint="default" w:ascii="Cambria Math" w:hAnsi="Cambria Math" w:eastAsia="Cambria Math" w:cs="Cambria Math"/>
          <w:sz w:val="24"/>
          <w:szCs w:val="24"/>
          <w:highlight w:val="none"/>
        </w:rPr>
        <w:t xml:space="preserve">¹</w:t>
      </w:r>
      <w:r>
        <w:t xml:space="preserve"> ustawy </w:t>
      </w:r>
      <w:r>
        <w:t xml:space="preserve">z dnia 23 kwietnia 1964 r. Kodeks cywilny (t.j. Dz. U. z 2023 r. poz. 1610 z późn. zm.).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11"/>
        </w:numPr>
        <w:pBdr/>
        <w:spacing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highlight w:val="none"/>
        </w:rPr>
        <w:t xml:space="preserve">Niniejsze postępowanie nie podlega przepisom ustawy  Prawo Zamówień Publicznych. Prowadzone jest w sposób konkurencyjny i transparentny z zachowaniem zasad równego traktowania wykonawców, z uwzględnieniem </w:t>
      </w:r>
      <w:r>
        <w:rPr>
          <w:rFonts w:hint="default" w:ascii="Arial" w:hAnsi="Arial" w:eastAsia="Arial" w:cs="Arial"/>
          <w:highlight w:val="none"/>
        </w:rPr>
        <w:t xml:space="preserve">§</w:t>
      </w:r>
      <w:r>
        <w:rPr>
          <w:highlight w:val="none"/>
        </w:rPr>
        <w:t xml:space="preserve">8 ust. 6 Regulaminu Naboru winsoków o dofinansowanie z Rządowego Programu Ochrony Zabytków.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11"/>
        </w:numPr>
        <w:pBdr/>
        <w:spacing/>
        <w:ind w:hanging="360" w:left="360"/>
        <w:jc w:val="both"/>
        <w:rPr>
          <w:highlight w:val="none"/>
        </w:rPr>
      </w:pPr>
      <w:r>
        <w:rPr>
          <w:highlight w:val="none"/>
        </w:rPr>
        <w:t xml:space="preserve">Postępowanie prowadzone j</w:t>
      </w:r>
      <w:r>
        <w:rPr>
          <w:highlight w:val="none"/>
        </w:rPr>
        <w:t xml:space="preserve">est na podstawie Uchwały Nr v44/VIII/2024 Rady Gminy Braniewo z dnia 22 mraca 2024 r., w sprawie określenia zasad udzielenia dotacji na sfinansowanie prac konserwatorskich, restauratorskich lub robót budowlanych przy zabytku wpisanym do rejestru zabytków. </w:t>
      </w:r>
      <w:r>
        <w:rPr>
          <w:highlight w:val="none"/>
        </w:rPr>
      </w:r>
      <w:r>
        <w:rPr>
          <w:highlight w:val="none"/>
        </w:rPr>
      </w:r>
    </w:p>
    <w:p>
      <w:pPr>
        <w:pStyle w:val="976"/>
        <w:numPr>
          <w:ilvl w:val="0"/>
          <w:numId w:val="11"/>
        </w:numPr>
        <w:pBdr/>
        <w:spacing/>
        <w:ind w:hanging="360"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 sprawach nieuregulowanych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zastosowanie znajdują bezwzględnie obowiązujące przepisy prawa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w szczególności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ustawy z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dnia 23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kwietnia 1964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r. Kodeks cywilny 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t.j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Dz.U. z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poz.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610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zm.) i Prawo budowlane 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t.j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Dz.U.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 poz. 725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zm.).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76"/>
        <w:numPr>
          <w:ilvl w:val="0"/>
          <w:numId w:val="11"/>
        </w:numPr>
        <w:pBdr/>
        <w:spacing/>
        <w:ind w:hanging="360" w:left="360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 w:eastAsiaTheme="minorEastAsia"/>
          <w:color w:val="auto"/>
          <w:sz w:val="24"/>
          <w:szCs w:val="24"/>
        </w:rPr>
        <w:t xml:space="preserve">W związku z zakwalifikowaniem inwestycji do otrzymania Promesy Inwestycyjnej (dalej: Promesa) ze środków Rządowego Programu Odbudowy Zabytków i uzyskaniem Wstępnej Promesy (Wstępna Promesa z dnia 27-07-2023r NR RPOZ/2022/11728/</w:t>
      </w:r>
      <w:r>
        <w:rPr>
          <w:rFonts w:ascii="Times New Roman" w:hAnsi="Times New Roman" w:eastAsia="Times New Roman" w:cs="Times New Roman" w:eastAsiaTheme="minorEastAsia"/>
          <w:color w:val="auto"/>
          <w:sz w:val="24"/>
          <w:szCs w:val="24"/>
        </w:rPr>
        <w:t xml:space="preserve">PolskiLad</w:t>
      </w:r>
      <w:r>
        <w:rPr>
          <w:rFonts w:ascii="Times New Roman" w:hAnsi="Times New Roman" w:eastAsia="Times New Roman" w:cs="Times New Roman" w:eastAsiaTheme="minorEastAsia"/>
          <w:color w:val="auto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 w:eastAsiaTheme="minorEastAsia"/>
          <w:color w:val="auto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 w:eastAsiaTheme="minorEastAsia"/>
          <w:color w:val="auto"/>
          <w:sz w:val="24"/>
          <w:szCs w:val="24"/>
        </w:rPr>
        <w:t xml:space="preserve"> dla realizacji i po</w:t>
      </w:r>
      <w:r>
        <w:rPr>
          <w:rFonts w:ascii="Times New Roman" w:hAnsi="Times New Roman" w:eastAsia="Times New Roman" w:cs="Times New Roman" w:eastAsiaTheme="minorEastAsia"/>
          <w:color w:val="auto"/>
          <w:sz w:val="24"/>
          <w:szCs w:val="24"/>
        </w:rPr>
        <w:t xml:space="preserve">s</w:t>
      </w:r>
      <w:r>
        <w:rPr>
          <w:rFonts w:ascii="Times New Roman" w:hAnsi="Times New Roman" w:eastAsia="Times New Roman" w:cs="Times New Roman" w:eastAsiaTheme="minorEastAsia"/>
          <w:color w:val="auto"/>
          <w:sz w:val="24"/>
          <w:szCs w:val="24"/>
        </w:rPr>
        <w:t xml:space="preserve">tępowania mają również zastosowanie zapisy wynikające z ww. programu, w tym dotyczące płatności i zapewnienia finansowania inwestycji przez Wykonawcę na czas poprzedzający wypłaty z Promesy na zasadach określonych w Promesie i Regulaminie do w/w programu.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Zamówienie publiczne dofinansowane jest w 95% z Rządowego Programu Odbudowy Zabytków</w:t>
      </w:r>
      <w:r>
        <w:rPr>
          <w:rFonts w:ascii="Times New Roman" w:hAnsi="Times New Roman" w:eastAsia="Times New Roman" w:cs="Times New Roman" w:eastAsiaTheme="minorEastAsia"/>
          <w:b w:val="0"/>
          <w:bCs w:val="0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EastAsia"/>
          <w:color w:val="auto"/>
          <w:sz w:val="24"/>
          <w:szCs w:val="24"/>
        </w:rPr>
      </w:r>
      <w:r>
        <w:rPr>
          <w:rFonts w:ascii="Times New Roman" w:hAnsi="Times New Roman" w:cs="Times New Roman" w:eastAsiaTheme="minorEastAsia"/>
          <w:color w:val="auto"/>
          <w:sz w:val="24"/>
          <w:szCs w:val="24"/>
        </w:rPr>
      </w:r>
    </w:p>
    <w:p>
      <w:pPr>
        <w:pStyle w:val="976"/>
        <w:numPr>
          <w:ilvl w:val="0"/>
          <w:numId w:val="11"/>
        </w:numPr>
        <w:pBdr/>
        <w:spacing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EastAsia"/>
          <w:color w:val="auto"/>
          <w:sz w:val="24"/>
          <w:szCs w:val="24"/>
        </w:rPr>
      </w:r>
      <w:r>
        <w:rPr>
          <w:rFonts w:ascii="Times New Roman" w:hAnsi="Times New Roman" w:eastAsia="Times New Roman" w:cs="Times New Roman" w:eastAsiaTheme="minorEastAsia"/>
          <w:color w:val="auto"/>
          <w:sz w:val="24"/>
          <w:szCs w:val="24"/>
        </w:rPr>
        <w:t xml:space="preserve">Realizacja przedmiotu inwestycji jest dofinansowana z Rządowego Programu Odbudowy Zabytków, przyjętego na mocy uchwały Nr 232/2022 Rady Ministrów z dnia 23 listopada 2022 r. w sprawie ustanowienia Rządowego Programu Odbudowy Zabytków, wydanej n</w:t>
      </w:r>
      <w:r>
        <w:rPr>
          <w:rFonts w:ascii="Times New Roman" w:hAnsi="Times New Roman" w:eastAsia="Times New Roman" w:cs="Times New Roman" w:eastAsiaTheme="minorEastAsia"/>
          <w:color w:val="auto"/>
          <w:sz w:val="24"/>
          <w:szCs w:val="24"/>
        </w:rPr>
        <w:t xml:space="preserve">a podstawie art. 69 ust. 1 ustawy z dnia 31 marca 2020 r. o zmianie ustawy o szczególnych rozwiązaniach związanych z zapobieganiem, przeciwdziałaniem i zwalczaniem COVID-19, innych chorób zakaźnych oraz wywołanych nimi sytuacji kryzysowych oraz niektórych </w:t>
      </w:r>
      <w:r>
        <w:rPr>
          <w:rFonts w:ascii="Times New Roman" w:hAnsi="Times New Roman" w:eastAsia="Times New Roman" w:cs="Times New Roman" w:eastAsiaTheme="minorEastAsia"/>
          <w:color w:val="auto"/>
          <w:sz w:val="24"/>
          <w:szCs w:val="24"/>
        </w:rPr>
        <w:t xml:space="preserve">innych ustaw (Dz.U. z 2020 r. poz. 568 z </w:t>
      </w:r>
      <w:r>
        <w:rPr>
          <w:rFonts w:ascii="Times New Roman" w:hAnsi="Times New Roman" w:eastAsia="Times New Roman" w:cs="Times New Roman" w:eastAsiaTheme="minorEastAsia"/>
          <w:color w:val="auto"/>
          <w:sz w:val="24"/>
          <w:szCs w:val="24"/>
        </w:rPr>
        <w:t xml:space="preserve">późn</w:t>
      </w:r>
      <w:r>
        <w:rPr>
          <w:rFonts w:ascii="Times New Roman" w:hAnsi="Times New Roman" w:eastAsia="Times New Roman" w:cs="Times New Roman" w:eastAsiaTheme="minorEastAsia"/>
          <w:color w:val="auto"/>
          <w:sz w:val="24"/>
          <w:szCs w:val="24"/>
        </w:rPr>
        <w:t xml:space="preserve">. zm.).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firstLine="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</w:rPr>
        <w:t xml:space="preserve">4. Opis przedmiotu zamówienia </w:t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</w:p>
    <w:p>
      <w:pPr>
        <w:pStyle w:val="962"/>
        <w:numPr>
          <w:ilvl w:val="0"/>
          <w:numId w:val="37"/>
        </w:numPr>
        <w:pBdr/>
        <w:spacing/>
        <w:ind w:right="0" w:hanging="283" w:left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Przedmiotem inwestycji jest ściana zachodnia cerkwi pod wezwaniem Świętej Trójcy wpisany do rejestru zabytków pod numerem A-427. Budynek kościoła jest własnością parafii greckokatolickiej.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62"/>
        <w:numPr>
          <w:ilvl w:val="0"/>
          <w:numId w:val="37"/>
        </w:numPr>
        <w:pBdr/>
        <w:spacing/>
        <w:ind w:right="0" w:hanging="283"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Kościół gotycki , jednonawowy,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Posadowiony na planie wydłużonego prostokąta, od strony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północno wschodniej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zamkniętego trójbocznie. Od strony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zachodniej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zakrystia na planie kwadratu, od północnej kruchta, na planie prostokątnym, dłuższym bokiem przylegająca do ściany.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Bryła kościoła to prosta forma geometryczna.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Brak rozbudowanych podziałów architektonicznych i dekoracji rzeźbiarskich i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zachowanych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witraży.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Kościół zbudowany z cegły, posadowiony na fundamentach z głazów granitowych.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Ściana południowa wsparta niską szkarpą.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  <w:t xml:space="preserve">Budynek nakryty jest dachem dwuspadowym. Konstrukcja dachu krokwiowo-jętkowa wzmocniona zastrzałami. Dach pokryto dachówką holenderką na łatach drewnianych.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  <w:t xml:space="preserve">Kolorystyka  budowli – naturalny kolor cegły, stolarka budowlana – zielona.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  <w:t xml:space="preserve">Obiekt użytkowany jest jako czynny obiekt sakralny obrządku greckokatolickiego.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Prace prowadzone będą pod nadzorem merytorycznym Warmińsko - Mazurskiego Wojewódzkiego Konserwatora Zabytków.  Zakres prac: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2"/>
        <w:numPr>
          <w:ilvl w:val="0"/>
          <w:numId w:val="38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  <w:t xml:space="preserve">Fotograficzna inwentaryzacja obiektu przed pracami i w ich trakcie.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2"/>
        <w:numPr>
          <w:ilvl w:val="0"/>
          <w:numId w:val="38"/>
        </w:num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Wzmacnianie pudrujących się spoin i cegieł.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2"/>
        <w:numPr>
          <w:ilvl w:val="0"/>
          <w:numId w:val="38"/>
        </w:num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Usunięcie licznych przemurowań i łat cementowych muru ponowna dezynfekcja miejsc zakażonych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2"/>
        <w:numPr>
          <w:ilvl w:val="0"/>
          <w:numId w:val="38"/>
        </w:num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Wykucie spoin cementowych, cementowo-wapiennych.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2"/>
        <w:numPr>
          <w:ilvl w:val="0"/>
          <w:numId w:val="38"/>
        </w:num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Wzmacnianie wstępne odsłanianych, zdezintegrowanych partii murów.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2"/>
        <w:numPr>
          <w:ilvl w:val="0"/>
          <w:numId w:val="38"/>
        </w:num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Oczyszczanie powierzchni elewacji.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2"/>
        <w:numPr>
          <w:ilvl w:val="0"/>
          <w:numId w:val="38"/>
        </w:num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Odsalanie obiektu.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2"/>
        <w:numPr>
          <w:ilvl w:val="0"/>
          <w:numId w:val="38"/>
        </w:num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Wypełnienie pęknięć , szpar i szczelin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2"/>
        <w:numPr>
          <w:ilvl w:val="0"/>
          <w:numId w:val="38"/>
        </w:num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Wypełnianie ubytków w murze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2"/>
        <w:numPr>
          <w:ilvl w:val="0"/>
          <w:numId w:val="38"/>
        </w:num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Scalenie kolorystyczne całości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2"/>
        <w:numPr>
          <w:ilvl w:val="0"/>
          <w:numId w:val="38"/>
        </w:numPr>
        <w:pBdr/>
        <w:spacing w:after="0"/>
        <w:ind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Hydrofobizacja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6"/>
        <w:pBdr/>
        <w:spacing/>
        <w:ind w:firstLine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Prace powinny zostać wykonane zgodnie z decyzją Warmińsko - Mazurskiego Wojewódzkiego Konserwatora Zabytków nr 1863/2022 z dnia 03.03.2023 r., stanowiącego załącznik nr 7 do zapytania.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Szczegółowy opis przedmiotu zamówienia określony został w „Stan zachowania ścian cerkwi p.w. Świętej Trójcy w Braniewie. Technologia prac konserwatorsk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ich. Cerkiew Parafii greckokatolickiej p.w. Świętej Trójcy w Braniewie, 14-500 Braniewo, ul. Kościuszki 11, działka nr 70 aut. Ewa Pytel, styczeń 2023”, stanowiący podstawę do wydania w/w decyzji Warmińsko – Mazurskiego Wojewódzkiego Konserwatora Zabytków.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Wykonawca zobowiązany jest do: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 w:after="26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zawiadomienia Zamawiającego o wszystkich okolicznościach ujawnionych w toku prowadzonych prac, które mogę mieć wpływ na stan zachowania zabytku i zakres prowadzonych prac;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prowadzenia dokumentacji przebiegu wskazanych w pozwoleniu pra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c oraz opracowania ich wyników w sposób umożliwiający jednoznaczną identyfikację i dokładną lokalizację przestrzenną wszystkich czynności, użytych materiałów oraz dokonanych odkryć i przekazania ich Zamawiającemu nie później niż termin odbioru inwestycji.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Warunki dotyczące realizacji przedmiotu zamówienia zostały określone w projekcie umowy, stanowiącym załącznik nr 6 do zapytania oraz wynikają z przepisów prawa.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Wykonawcy ponoszą odpowied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zialność za zapoznanie się z należytą starannością z treścią dokumentacji dotyczącej zapytania ofertowego oraz za uzyskanie wiarygodnej informacji odnośnie warunków i zobowiązań, które w jakikolwiek sposób mogą wpłynąć na cenę oferty lub realizację robót.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Wspólny Słownik Zamówień CPV: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Kod CPV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45212350 - Budynki o szczególnej wartości historycznej lub architektonicznej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45453000 - Roboty remontowe i renowacyjne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 Wykonawca zobowiązany jest do udzielenia okresu gwarancji jakości na przedmiot umowy nie krótszego niż 36 miesięcy, licząc od daty podpisania p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rotokołu odbioru końcowego, niezależnie od materiałów/urządzeń na które obowiązuje gwarancja jakości udzielona przez producenta. Dłuższy niż 36 miesięcy okres gwarancji będzie punktowany zgodnie z zasadami określonymi w rozdziale 15 niniejszego zapytania.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firstLine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Wykonawca ponosił będzie pełną odpowiedzialność za szkody oraz następstwa nieszczęśliwych wypadków pracowników i osób trzecich, powstałych w związku z realizacją przedmiotu zamówienia w czasie od daty podpisania umowy do zakończenia przedmiotu zamówienia.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firstLine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 Cena musi zawi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erać wszelkie koszty niezbędne do zrealizowania zamówienia wynikające wprost z dokumentacji niniejszego zapytania ofertowego, jak również w niej nie ujęte, a które muszą być skalkulowane przez podmiot ubiegający się o realizację przedmiotowego zamówienia.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</w:rPr>
        <w:t xml:space="preserve">5. Wizja lokalna </w:t>
      </w: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  <w:highlight w:val="none"/>
        </w:rPr>
      </w:r>
    </w:p>
    <w:p>
      <w:pPr>
        <w:pStyle w:val="976"/>
        <w:numPr>
          <w:ilvl w:val="0"/>
          <w:numId w:val="19"/>
        </w:numPr>
        <w:pBdr/>
        <w:spacing w:after="21"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Zamawiający informuje, że ze względu na specyfikę postępowania, złożenie oferty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musi być poprzedzone odbyciem wizji lokalnej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19"/>
        </w:numPr>
        <w:pBdr/>
        <w:spacing w:after="21"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Termin wizji lokalnej należy ustalić indywidu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alnie z Ks.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Piotrem Hudko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– Proboszcz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em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Parafii pod nr tel.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503 758 448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w terminie nie późniejszym niż 7 dni przed upływem terminu składania ofert.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19"/>
        </w:numPr>
        <w:pBdr/>
        <w:spacing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Zamawiający informuje, iż nie dokonanie wizji lokalnej przez Wykonawcę będzie skutkować konsekwencjami w postaci odrzucenia oferty.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</w:rPr>
        <w:t xml:space="preserve">6. Termin wykonania zamówienia </w:t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</w:p>
    <w:p>
      <w:pPr>
        <w:pStyle w:val="976"/>
        <w:numPr>
          <w:ilvl w:val="0"/>
          <w:numId w:val="20"/>
        </w:numPr>
        <w:pBdr/>
        <w:spacing w:after="21"/>
        <w:ind w:hanging="36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Termin rozpoczęcia prac będących przedmiotem umowy ustala się na 5 dni od podpisania umowy.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20"/>
        </w:numPr>
        <w:pBdr/>
        <w:spacing/>
        <w:ind w:hanging="36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Wykonawca zrealizuje przedmiot zamówienia w terminie do 31.11.2025 r.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</w:rPr>
        <w:t xml:space="preserve">7. Warunki udziału w postępowaniu </w:t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</w:p>
    <w:p>
      <w:pPr>
        <w:pStyle w:val="976"/>
        <w:pBdr/>
        <w:spacing w:after="21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Zamawiający wymaga aby Wykonawca zapewnił do kierowania pracami w ramach zamówienia osoby posiadające następujące wykształcenie lub uprawnienia: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 w:after="21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Osoba posiadająca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dyplom ukończenia studiów drugiego stopnia lub jednolitych studiów magisterskich w zakresie konserwacji restauracji elementów i detali architektonicznych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oraz która po rozpoczęciu studiów drugiego stopnia lub po zaliczeniu szóstego semestru jednolitych studiów magisterskich przez okres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co najmniej 9 miesięcy brała udział w pracach konserwatorskich, pracach restauratorskich lub badaniach konserwatorskich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prowadzonych przy zabytkach wpisanych do rejestru, inwentarza muzeum będącego instytucją kultury lub zaliczanych do jednej z kategorii, o których mowa w art. 14a ust. 2 ustawy o ochronie zabytków.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 w:after="21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Osoba posiadająca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uprawnienia b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udowlane określone przepisami Prawa budowlanego oraz która przez co najmniej 18 miesięcy brała udział w robotach budowlanych prowadzonych przy zabytkach nieruchomych wpisanych do rejestru lub inwentarza muzeum będącego instytucją kultury – kierownik budowy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 w:after="21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Osoba posiadająca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uprawnienia budowlane określone przepisami Prawa budowlanego oraz która przez co najmniej 18 miesięcy brała udział w robotach budowlanych prowadzonych przy zabytkach nieruchomych wpisanych do rejestru lub inwentarza muzeum będącego instytucją kultury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nadzór budowlany.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firstLine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Wykonawca zobo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wiązany jest do złożenia wraz z ofertą Wykazu osób zgodnie z załącznikiem nr 4 do postępowania oraz protokołów odbioru prac konserwatorskich – w zakresie każdej z pozycji przedstawionej w wykazie osób. Jeżeli opis prac określonych w załączniku nr 4 oraz w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protokołach będzie niekompletny, niejednoznaczny lub nie będzie odpowiadał wymaganiom opisanym w zapytaniu, Zamawiający nie przyzna punktów za wykazany zakres prac.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firstLine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Osoby pełniące funkcję kierownika budowy i nadzoru budowlanego składają stosowne oświadczenie o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spełnianiu warunków ustawowych  umożliwiających prace przy obiektach zabytkowych.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76"/>
        <w:pBdr/>
        <w:spacing/>
        <w: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76"/>
        <w:pBdr/>
        <w:spacing/>
        <w:ind/>
        <w:jc w:val="both"/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  <w:highlight w:val="none"/>
        </w:rPr>
      </w:r>
    </w:p>
    <w:p>
      <w:pPr>
        <w:pStyle w:val="976"/>
        <w:pBdr/>
        <w:spacing/>
        <w:ind/>
        <w:jc w:val="both"/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</w:rPr>
        <w:t xml:space="preserve">8. Wykluczenie wykonawcy z postępowania o udzielenie zamówienia publicznego lub konkursu o wartości mniejszej niż kwoty określone w art. 2 ust. 1 ustawy z dnia 11 września 2019 r. - Prawo zamówień publi</w:t>
      </w: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</w:rPr>
        <w:t xml:space="preserve">cznych lub z wyłączeniem stosowania tej ustawy, w związku z art. 7 ustawy z dnia 13 kwietnia 2022 r. o szczególnych rozwiązaniach w zakresie przeciwdziałania wspieraniu agresji na Ukrainę oraz służących ochronie bezpieczeństwa narodowego (Dz. U. poz. 835) </w:t>
      </w: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  <w:highlight w:val="none"/>
        </w:rPr>
      </w:r>
    </w:p>
    <w:p>
      <w:pPr>
        <w:pStyle w:val="976"/>
        <w:numPr>
          <w:ilvl w:val="0"/>
          <w:numId w:val="41"/>
        </w:numPr>
        <w:pBdr/>
        <w:spacing/>
        <w:ind w:right="0" w:hanging="425" w:left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Zgodnie z art. 7 pkt 9 ustawy z dnia 13 kwietnia 2022 r. o szczególnych rozwiązaniach w zakre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sie przeciwdziałania wspieraniu agresji na Ukrainę oraz służących ochronie bezpieczeństwa narodowego (Dz. U. 2023 poz. 1497 z późn. zm.) o udzielenie niniejszego zamówienia nie może się ubiegać Wykonawca, który podlega wykluczeniu z udziału w postępowaniu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zamówienie publiczne z przyczyn (przesłanek) wskazanych w art. 7 pkt 1 ppkt 1 – 3 ustawy z dnia 13 kwietnia 2022 r. o szczególnych rozwiązaniach w zakresie przeciwdziałania wspieraniu agresji na Ukrainę oraz służących ochronie bezpieczeństwa narodowego.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76"/>
        <w:numPr>
          <w:ilvl w:val="0"/>
          <w:numId w:val="41"/>
        </w:numPr>
        <w:pBdr/>
        <w:spacing/>
        <w:ind w:right="0" w:hanging="425" w:left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 związku z art. 7 pkt 3 ustawy z dnia 13 kwietnia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2022 r. o szczególnych rozwiązaniach w zakresie przeciwdziałania wspieraniu agresji na Ukrainę oraz służących ochronie bezpieczeństwa narodowego oferta wykonawcy lub uczestnika konkursu podlegającego wykluczeniu, o którym mowa powyżej, zostanie odrzucona.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76"/>
        <w:numPr>
          <w:ilvl w:val="0"/>
          <w:numId w:val="41"/>
        </w:numPr>
        <w:pBdr/>
        <w:spacing/>
        <w:ind w:right="0" w:hanging="425" w:left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Na okoliczność braku przesłanek wykluczenia Wykonawca zobowiązany jest do złożenia oświadczenia, zgodnie z załącznikiem nr 2 do Zapytania.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76"/>
        <w:numPr>
          <w:ilvl w:val="0"/>
          <w:numId w:val="41"/>
        </w:numPr>
        <w:pBdr/>
        <w:spacing/>
        <w:ind w:right="0" w:hanging="425" w:left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Podpisane oświadczenie winno być złożone wraz z ofertą.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76"/>
        <w:numPr>
          <w:ilvl w:val="0"/>
          <w:numId w:val="41"/>
        </w:numPr>
        <w:pBdr/>
        <w:spacing/>
        <w:ind w:right="0" w:hanging="425" w:left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Niezłożenie przez Wykonawcę oświadczenia uprawnia Zamawiającego do wykluczenia Wykonawcy z przedmiotowego postępowania.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76"/>
        <w:numPr>
          <w:ilvl w:val="0"/>
          <w:numId w:val="41"/>
        </w:numPr>
        <w:pBdr/>
        <w:spacing/>
        <w:ind w:right="0" w:hanging="425"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Oświadczenie, jak wyżej, nie zamyka prawa Zamawiającego do dodatkowej (lub przeprowadzonej niezależnie od złożonego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oświadczenia jak wyżej) weryfikacji podstaw wykluczenia na podstawie art. 7 pkt. 1 ustawy z dnia 13 kwietnia 2022 r. o szczególnych rozwiązaniach w zakresie przeciwdziałania wspieraniu agresji na Ukrainę oraz służących ochronie bezpieczeństwa narodowego.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</w:rPr>
        <w:t xml:space="preserve">9. Sposób i miejsce publikacji zamówienia </w:t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Upublicznienie zapytania ofertowego poprzez umieszczenie zapytania na stronie internetowej Gminy Braniewo: </w:t>
      </w:r>
      <w:r>
        <w:rPr>
          <w:rFonts w:ascii="Times New Roman" w:hAnsi="Times New Roman" w:eastAsia="Times New Roman" w:cs="Times New Roman"/>
          <w:color w:val="0000ff"/>
          <w:sz w:val="24"/>
          <w:szCs w:val="24"/>
        </w:rPr>
      </w:r>
      <w:hyperlink r:id="rId10" w:tooltip="https://bipbraniewo.warmia.mazury.pl/" w:history="1">
        <w:r>
          <w:rPr>
            <w:rStyle w:val="939"/>
            <w:rFonts w:ascii="Times New Roman" w:hAnsi="Times New Roman" w:eastAsia="Times New Roman" w:cs="Times New Roman"/>
            <w:sz w:val="24"/>
            <w:szCs w:val="24"/>
          </w:rPr>
          <w:t xml:space="preserve">https://bipbraniewo.warmia.mazury.pl/</w:t>
        </w:r>
        <w:r>
          <w:rPr>
            <w:rStyle w:val="939"/>
            <w:rFonts w:ascii="Times New Roman" w:hAnsi="Times New Roman" w:eastAsia="Times New Roman" w:cs="Times New Roman"/>
            <w:sz w:val="24"/>
            <w:szCs w:val="24"/>
          </w:rPr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</w:r>
      <w:r>
        <w:rPr>
          <w:rFonts w:ascii="Times New Roman" w:hAnsi="Times New Roman" w:cs="Times New Roman"/>
          <w:color w:val="0000ff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eastAsia="Times New Roman" w:cs="Times New Roman"/>
          <w:color w:val="365f9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ff"/>
          <w:sz w:val="24"/>
          <w:szCs w:val="24"/>
        </w:rPr>
      </w:r>
      <w:r>
        <w:rPr>
          <w:rFonts w:ascii="Times New Roman" w:hAnsi="Times New Roman" w:cs="Times New Roman"/>
          <w:color w:val="0000ff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</w:rPr>
        <w:t xml:space="preserve">10. Miejsce, termin i forma składania ofert: </w:t>
      </w: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  <w:highlight w:val="none"/>
        </w:rPr>
      </w:r>
    </w:p>
    <w:p>
      <w:pPr>
        <w:pStyle w:val="976"/>
        <w:numPr>
          <w:ilvl w:val="0"/>
          <w:numId w:val="42"/>
        </w:numPr>
        <w:pBdr/>
        <w:spacing/>
        <w:ind w:right="0" w:hanging="360" w:left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Kompletną i podpisaną przez upoważnioną/-e osobę/-y ofertę w formie papierowej wraz z załącznikami należy złożyć w zamkniętej kopercie w terminie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do dnia14.08.2024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r. do godz. 10:00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 Urzędzie Gminy w Braniewie, ul. Moniuszki 5, I piętro, Sekretariat – pokój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76"/>
        <w:numPr>
          <w:ilvl w:val="0"/>
          <w:numId w:val="42"/>
        </w:numPr>
        <w:pBdr/>
        <w:spacing/>
        <w:ind w:right="0" w:hanging="360" w:left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Oferty złożone po terminie nie będą rozpatrywane.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76"/>
        <w:numPr>
          <w:ilvl w:val="0"/>
          <w:numId w:val="42"/>
        </w:numPr>
        <w:pBdr/>
        <w:spacing/>
        <w:ind w:right="0" w:hanging="360"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Na kopercie ze złożoną ofertą należy zamieścić dopisek: „Zapytanie ofertowe: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Konserwacja ściany zachodniej cerkwi p.w. Świętej Trójcy w Braniewie” – nie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otwierać przed 30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.08.202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r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. godz. 10:15.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76"/>
        <w:pBdr/>
        <w:spacing/>
        <w:ind w:right="0" w:hanging="360" w:left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</w:rPr>
        <w:t xml:space="preserve">11. Termin związania ofertą </w:t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Wykonawca będzie związany ofertą przez okres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60 dni od upływu terminu składania ofert.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</w:rPr>
        <w:t xml:space="preserve">12. Otwarcie ofert </w:t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Otwarcie ofert nastąpi: 30.08.2024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r. do godz. 10:15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</w:rPr>
        <w:t xml:space="preserve">13. Sposób przygotowania oferty</w:t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Oferta musi zawierać następujące oświadczenia i dokumenty: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 w:after="27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Formularz ofertowy - załącznik nr 1 do zapytania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 w:after="27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Oświadczenie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 przedmiocie braku podstaw do wykluczenia wykonawcy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 załącznik nr 2 do zapytania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 w:after="27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Podpisane przez osoby upoważnione Zamawiającego oryginał oświadczenia o przeprowadzeniu wizji lokalnej – zgodnie z załącznikiem nr 3 do zapytania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 w:after="27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Wykaz osób – zgodnie z załącznikiem nr 4 do zapytania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 w:after="27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Poświadczone za zgodność z oryginałem protokoły bezusterkowego odb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ioru prac konserwatorskich – w zakresie każdej z pozycji przedstawionej w wykazie osób, a w przypadku pracy w zespole i braku wpisu danej osoby w protokole odbioru dodatkowo oświadczenie wykonawcy o składzie osobowym zespołu realizującego dany zakres prac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 w:after="27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6) Poświadczona za zgodność z oryginałem kopia dyplomu ukończenia studiów wyższych magisterskich w zakresie konserwacji restauracji elementów i detali architektonicznych,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7) Jeżeli osoba podpisująca ofertę działa na podstaw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ie pełnomocnictwa, to pełnomocnictwo tej osoby musi być dołączone do oferty. Pełnomocnictwo może być złożone w formie oryginału lub kopii poświadczonej „za zgodność z oryginałem” przez osobę wymienioną w dokumencie rejestracyjnym (ewidencyjnym) Wykonawcy.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</w:rPr>
        <w:t xml:space="preserve">14. Opis sposobu obliczania ceny </w:t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</w:p>
    <w:p>
      <w:pPr>
        <w:pStyle w:val="976"/>
        <w:numPr>
          <w:ilvl w:val="0"/>
          <w:numId w:val="25"/>
        </w:numPr>
        <w:pBdr/>
        <w:spacing w:after="23"/>
        <w:ind w:right="0" w:hanging="283"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Cena oferty powinna być wyrażona w polskich złotych z dokładnością do dwóch miejsc po przecinku.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25"/>
        </w:numPr>
        <w:pBdr/>
        <w:spacing/>
        <w:ind w:right="0" w:hanging="283"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Cena oferty może być tylko jedna, nie dopuszcza się wariantowości cen.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25"/>
        </w:numPr>
        <w:pBdr/>
        <w:spacing w:after="23"/>
        <w:ind w:right="0" w:hanging="283"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Cenę oferty należy przedstawić na podstawie kalkulacji własnej, biorąc pod uwagę przedmiot zamówienia w zakresie określonym w niniejszej specyfikacji.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25"/>
        </w:numPr>
        <w:pBdr/>
        <w:spacing/>
        <w:ind w:right="0" w:hanging="283"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Wszelkie rozliczenia dotyczące realizacji przedmiotu zamówienia opisanego w niniejszej specyfikacji dokonywane będą w złotych polskich.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</w:rPr>
        <w:t xml:space="preserve">15. Kryteria oceny ofert </w:t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</w:r>
    </w:p>
    <w:p>
      <w:pPr>
        <w:pStyle w:val="976"/>
        <w:numPr>
          <w:ilvl w:val="0"/>
          <w:numId w:val="43"/>
        </w:numPr>
        <w:pBdr/>
        <w:spacing/>
        <w:ind w:right="0" w:hanging="283"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Oferty w przedmiotowym postępowaniu będą ocenione na podstawie: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kryterium cena – znaczenie 40 pkt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kryterium gwarancja – 10 pkt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doświadczenie zawodowe osób kierujących pracami – 50 pkt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kryterium cena – znaczenie 40 pkt - X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44"/>
        </w:numPr>
        <w:pBdr/>
        <w:spacing/>
        <w:ind w:right="0" w:hanging="283" w:left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Pod pojęciem Cena należy rozumieć całkowity koszt wykonania przedmiotu zamówienia objętego niniejszym zamówieniem. Zamawiający będzie brał pod uwagę cenę ofertową brutto zamówienia podaną na formularzu ofertowym.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76"/>
        <w:numPr>
          <w:ilvl w:val="0"/>
          <w:numId w:val="44"/>
        </w:numPr>
        <w:pBdr/>
        <w:spacing/>
        <w:ind w:right="0" w:hanging="283" w:left="425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Liczba punktów jaką można uzyskać w kryterium cena, obliczona zostanie na podstawie następującego wzoru: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76"/>
        <w:pBdr/>
        <w:spacing/>
        <w:ind w:right="0" w:firstLine="0"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 min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X =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x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40 pkt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 O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gdzie: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X – ilość punktów uzyskana przez daną ofertę w kryterium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Cena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 min – najniższa cena spośród ofert niepodlegających odrzuceniu i złożonych przez Wykonawców, którzy nie podlegali wykluczeniu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Co – cena ocenianej oferty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Wykonawca może uzyskać maksymalnie 40 punktów w kryterium „cena”.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425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kryterium gwarancja – 10 pkt – G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976"/>
        <w:pBdr/>
        <w:spacing/>
        <w:ind w:right="0" w:firstLine="0" w:left="425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76"/>
        <w:numPr>
          <w:ilvl w:val="0"/>
          <w:numId w:val="44"/>
        </w:numPr>
        <w:pBdr/>
        <w:spacing/>
        <w:ind w:right="0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Przez gwarancję należy rozumieć oferowany przez Wykonawcę okres gwarancji jakości na przedmiot zamówienia (liczony w miesiącach), licząc od daty odbioru ostatecznego (końcowego).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76"/>
        <w:pBdr/>
        <w:spacing/>
        <w:ind w:right="0" w:firstLine="0" w:left="0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76"/>
        <w:pBdr/>
        <w:spacing/>
        <w:ind w:right="0" w:firstLine="0"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Ocena punktowa w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kryterium „gwarancja” dokonana zostanie na podstawie okresu gwarancji jakości na przedmiot zamówienia (liczonego w miesiącach), licząc od daty odbioru ostatecznego (końcowego), wskazanego przez Wykonawcę w ofercie i przeliczonego według poniższego wzoru: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Gb-36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G =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x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10 pkt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 – ilość punktów uzyskana przez daną ofertę w kryterium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Gwarancja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Gb – okres gwarancji badanej oferty (w miesiącach)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Minimalny, wymagany przez Zamawiającego okres gwarancji wynosi 36 miesięcy. Zaoferowanie krótszego spowoduje odrzucenie oferty.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425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Maksymalny okres gwarancji wynosi 60 miesięcy. W przypadku zaoferowania okresu gwarancji dłuższego niż 60 miesięcy, Zamawiający przyzna 10 pkt w kryterium „gwarancja”, a do umowy zostanie przyjęty okres gwarancji wskazany przez Wykonawcę w ofercie.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76"/>
        <w:pBdr/>
        <w:spacing/>
        <w:ind w:right="0" w:firstLine="0"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 przypadku niewypełnienia w formularzu ofertowym pozycji dotyczącej „gwarancji" przez Wykonawcę, Zamawiający przyzna 0 pkt w kryterium „gwarancja” i przyjmuje minimalny okres gwarancji tj. 36 miesięcy.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425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kryterium doświadczenie zawodowe osób kierujących pracami – 50 pkt - DK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44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 kryterium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Doświadczenie zawodowe osób kierujących pracami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oceniane będzie doświadczenie zawodowe osób kierujących i/lub nadzorujących pracami będącymi przedmiotem zamówienia, spełniające warunki udziału w postępowaniu, określonymi w rozdziale 7 ust. 1 zapytania.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firstLine="0"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firstLine="0"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Punkty będą przyznawane, na pod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stawie ilości zrealizowanych (kierowanych i/lub nadzorowanych), pod nadzorem odpowiedniego Urzędu Ochrony Zabytków lub równoważnej instytucji kultury (np. muzeum), prac konserwatorskich/ restauratorskich. Prace wykonywane mogą być osobiście lub w zespole.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 w:right="0" w:firstLine="0"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Punkty przyznane zostaną na podstawie zaznaczonej opcji w formularzu ofertowym oraz na podstawie wypełnionego wykazu osób stanowiącego załącznik nr 4 do zapytania opisującego dorobek zawodowy osób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(suma doświadczenia dla osoby/osób określonych w rozdziale 7 ust. 1 pkt 1) i 2) zapytania) skierowanych do kierowania i/lub nadzorowania pracami, a także na podstawie protokołów odbioru prac konserwatorskich potwierdzających należyte wykonanie tych prac: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 w:after="24"/>
        <w:ind w:right="0" w:firstLine="0"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0 punktów - wyłącznie 9 miesięczne doświadczenie zawodowe podczas odbywania studiów w pracach konserwatorskic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h, pracach restauratorskich lub badaniach konserwatorskich, prowadzonych przy zabytkach wpisanych do rejestru, inwentarza muzeum będącego instytucją kultury lub zaliczanych do jednej z kategorii, o których mowa w art. 14a ust. 2 ustawy o ochronie zabytków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 w:after="24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10 pkt - Od 1 do 5 dodatkowych prac konserwatorskich / restauratorskich spełniających wymagania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 w:after="24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20 pkt - Od 6 do 10 dodatkowych prac konserwatorskich / restauratorskich spełniających wymagania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 w:after="24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30 pkt - Od 11 do 15 dodatkowych prac konserwatorskich / restauratorskich spełniających wymagania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 w:after="24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40 pkt – Od 16 do 20 dodatkowych prac konserwatorskich / restauratorskich spełniających wymagania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6) 50 pkt - powyżej 20 dodatkowych prac konserwatorskich / restauratorskich spełniających wymagania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* W przypadku nie zaznaczenia żadnej pozycji lub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zaznaczenia więcej niż 1 pozycji w formularzu ofertowym, Zamawiający dokona oceny posiadanego dorobku na podstawie wykazu osób i przyzna na tej podstawie odpowiednią ilość punktów w kryterium dotyczącym „doświadczenia zawodowego osób kierujących pracami”.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Maksymalna ilość punktów jaką może uzyskać oferta w kryterium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doświadczenia zawodowego osób kierujących pracami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wynosi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50 pkt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Łączna ilość punktów dla poszczególnych ofert w zakresie każdej części zostanie ustalona wg wzoru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 = X + G +DK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gdzie: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 – ilość punktów uzyskana przez daną ofertę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X – ilość punktów uzyskana przez daną ofertę w kryterium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Cena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 – ilość punktów uzyskana przez daną ofertę w kryterium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Gwarancja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DK – ilość punktów uzyskana przez daną ofertę w kryterium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Doświadczenie zawodowe osób kierujących pracami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28"/>
        </w:numPr>
        <w:pBdr/>
        <w:spacing w:after="23"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Zamawiający udzieli zamówienia Wykonawcy, którego oferta odpowiadać będzie wszystkim wymaganiom przedstawionym w zapytaniu ofertowym wraz z załącznikami i zostanie oceniona jako najkorzystniejsza w oparciu o podane kryteria wyboru.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28"/>
        </w:numPr>
        <w:pBdr/>
        <w:spacing w:after="23"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Maksymalna liczba punktów, jaką może otrzymać Wykonawca to 100.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28"/>
        </w:numPr>
        <w:pBdr/>
        <w:spacing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Jeżeli zamawiający nie może dokonać wyboru oferty najkorzystniejszej ze względu na to, że zostały złożone oferty o ta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kiej punktacji, Zamawiający wezwie wykonawców, którzy złożyli te oferty, do złożenia w terminie określonym przez Zamawiającego oferty dodatkowej. Wykonawcy, składając oferty dodatkowe, nie mogą zaoferować cen wyższych niż zaoferowane w złożonych ofertach.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color w:val="365f9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</w:rPr>
        <w:t xml:space="preserve">16. Klauzula informacyjna: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65f91"/>
          <w:sz w:val="24"/>
          <w:szCs w:val="24"/>
        </w:rPr>
      </w:r>
      <w:r>
        <w:rPr>
          <w:rFonts w:ascii="Times New Roman" w:hAnsi="Times New Roman" w:cs="Times New Roman"/>
          <w:color w:val="365f91"/>
          <w:sz w:val="24"/>
          <w:szCs w:val="24"/>
        </w:rPr>
      </w:r>
    </w:p>
    <w:p>
      <w:pPr>
        <w:pStyle w:val="976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Zgodnie z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art. 13 ust. 1 i ust. 2 Rozporządzenia Parlamentu Europejskiego i Rady (UE) 2016/679 z dnia 27 kwietnia 2016 r. w sprawie ochrony osób fizycznych w związku z przetwarzaniem danych osobowych i w sprawie swobodnego przepływu takich danych), informujemy, iż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29"/>
        </w:numPr>
        <w:pBdr/>
        <w:spacing w:after="38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Administratorem Pani/Pana danych osobowych jest Parafia greckokatolicka p.w. Świętej Trójcy w Braniewie.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29"/>
        </w:numPr>
        <w:pBdr/>
        <w:spacing w:after="38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Dane osobowe będą przetwarzane wyłącznie w celu realizacji zadania – Konserwacja ściany zachodniej cerkwi p.w. Świętej Trójcy w Braniewie.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29"/>
        </w:numPr>
        <w:pBdr/>
        <w:spacing w:after="38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Pani/Pana dane osobowe przetwarzane będą w celu wyłonienia wykonawcy i zawarcia umowy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29"/>
        </w:numPr>
        <w:pBdr/>
        <w:spacing w:after="38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odbiorcą Pani/Pana danych osobowych będą podmioty upoważnione na podstawie przepisów prawa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29"/>
        </w:numPr>
        <w:pBdr/>
        <w:spacing w:after="38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Pani/Pana dane osobowe nie będą przekazywane do państwa trzeciego/organizacji międzynarodowej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29"/>
        </w:numPr>
        <w:pBdr/>
        <w:spacing w:after="38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Pani/Pana dane osobowe będą przechowywane przez okres niezbędny do realizacji celu, w którym zostały pozyskane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29"/>
        </w:numPr>
        <w:pBdr/>
        <w:spacing w:after="38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posiada Pani/Pan prawo dostępu do treści swoich danych oraz prawo ich sprostowania, usunięcia, ograniczenia przetwarzania, praw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 do przenoszenia danych, prawo wniesienia sprzeciwu, prawo do cofnięcia zgody w dowolnym momencie bez wpływu na zgodność z prawem przetwarzania (jeżeli przetwarzanie odbywa się na podstawie zgody), którego dokonano na podstawie zgody przed jej cofnięciem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29"/>
        </w:numPr>
        <w:pBdr/>
        <w:spacing w:after="38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ma Pan/Pani prawo wniesienia skargi do Urzędu Ochrony Danych Osobowych gdy uzna Pani/Pan, iż przetwarzanie danych osobowych Pani/Pana dotyczących narusza przepisy ogólnego rozporządzenia o ochronie danych osobowych z dnia 27 kwietnia 2016 r.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29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podanie przez Pana/Panią danych osobowych w zakresie wymaganym ustawodawstwem jest obligatoryjne, a w pozostałych przypadkach ma charakter dobrowolny.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65f91"/>
          <w:sz w:val="24"/>
          <w:szCs w:val="24"/>
        </w:rPr>
        <w:t xml:space="preserve">17. Informacje o formalnościach, jakie powinny być dopełnione po wyborze oferty w celu zawarcia umowy</w:t>
      </w:r>
      <w:r>
        <w:rPr>
          <w:rFonts w:ascii="Times New Roman" w:hAnsi="Times New Roman" w:eastAsia="Times New Roman" w:cs="Times New Roman"/>
          <w:color w:val="365f9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30"/>
        </w:numPr>
        <w:pBdr/>
        <w:spacing w:after="21"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Wykonawca będzie zobowiązany do podpisania umowy w miejscu i terminie wskazanym przez Zamawiającego.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0"/>
          <w:numId w:val="30"/>
        </w:numPr>
        <w:pBdr/>
        <w:spacing w:after="21"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Wykonawca, którego oferta została wybrana w porozumieniu z Zamawiającym opracują szczegółowy harmonogram prac. Harmonogram stanowił będzie załącznik do umowy.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 w:after="29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pBdr/>
        <w:spacing w:after="29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Złączniki: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1"/>
          <w:numId w:val="30"/>
        </w:numPr>
        <w:pBdr/>
        <w:spacing w:after="29"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Formularz – załącznik nr 1 do zapytania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1"/>
          <w:numId w:val="30"/>
        </w:numPr>
        <w:pBdr/>
        <w:spacing w:after="29"/>
        <w:ind w:hanging="36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Oświadczenie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 przedmiocie braku podstaw do wykluczenia wykonawcy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 załącznik nr 2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1"/>
          <w:numId w:val="30"/>
        </w:numPr>
        <w:pBdr/>
        <w:spacing w:after="29"/>
        <w:ind w:hanging="36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do zapytania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1"/>
          <w:numId w:val="30"/>
        </w:numPr>
        <w:pBdr/>
        <w:spacing w:after="29"/>
        <w:ind w:hanging="36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Oświadczenia o przeprowadzeniu wizji lokalnej – załącznik nr 3 do zapytania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1"/>
          <w:numId w:val="30"/>
        </w:numPr>
        <w:pBdr/>
        <w:spacing w:after="29"/>
        <w:ind w:hanging="36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Wykaz osób i posiadanego dorobku zawodowego – załącznik nr 4 do zapytania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1"/>
          <w:numId w:val="30"/>
        </w:numPr>
        <w:pBdr/>
        <w:spacing w:after="29"/>
        <w:ind w:hanging="36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Przedmiar prac – załącznik nr 5 do zapytania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1"/>
          <w:numId w:val="30"/>
        </w:numPr>
        <w:pBdr/>
        <w:spacing w:after="29"/>
        <w:ind w:hanging="36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Projekt umowy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1"/>
          <w:numId w:val="30"/>
        </w:numPr>
        <w:pBdr/>
        <w:spacing/>
        <w:ind w:hanging="36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Pozwolenie WMWKZ i program prac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numPr>
          <w:ilvl w:val="1"/>
          <w:numId w:val="30"/>
        </w:numPr>
        <w:pBdr/>
        <w:spacing/>
        <w:ind w:hanging="36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Decyzja Starosty Braniewskiego – Pozwolenie na budowę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right"/>
      <w:rPr/>
    </w:pPr>
    <w:r>
      <w:rPr>
        <w:lang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019033" cy="639294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40851" cy="6462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58.98pt;height:50.3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  <w:p>
    <w:pPr>
      <w:pStyle w:val="96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1">
    <w:lvl w:ilvl="0">
      <w:isLgl w:val="false"/>
      <w:lvlJc w:val="left"/>
      <w:lvlText w:val="%1)"/>
      <w:numFmt w:val="decimal"/>
      <w:pPr>
        <w:pBdr/>
        <w:spacing/>
        <w:ind w:hanging="428" w:left="543"/>
      </w:pPr>
      <w:rPr>
        <w:rFonts w:hint="default"/>
        <w:b w:val="0"/>
        <w:bCs w:val="0"/>
        <w:i w:val="0"/>
        <w:iCs w:val="0"/>
        <w:sz w:val="22"/>
        <w:szCs w:val="22"/>
        <w:lang w:val="pl-PL" w:eastAsia="en-US" w:bidi="ar-SA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3">
    <w:lvl w:ilvl="0">
      <w:isLgl w:val="false"/>
      <w:lvlJc w:val="left"/>
      <w:lvlText w:val="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ascii="Arial" w:hAnsi="Arial" w:cs="Arial"/>
        <w:b w:val="0"/>
        <w:bCs w:val="0"/>
        <w:i w:val="0"/>
        <w:iCs/>
        <w:sz w:val="20"/>
        <w:szCs w:val="20"/>
        <w:vertAlign w:val="baseli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)"/>
      <w:numFmt w:val="decimal"/>
      <w:pPr>
        <w:pBdr/>
        <w:spacing/>
        <w:ind w:hanging="360" w:left="114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6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8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0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2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74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6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8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06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3">
    <w:lvl w:ilvl="0">
      <w:isLgl w:val="false"/>
      <w:lvlJc w:val="left"/>
      <w:lvlText w:val="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•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2">
    <w:lvl w:ilvl="0">
      <w:isLgl w:val="false"/>
      <w:lvlJc w:val="lef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bCs w:val="0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spacing/>
        <w:ind w:hanging="360" w:left="1134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6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8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0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2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74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6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8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05"/>
      </w:pPr>
      <w:rPr/>
      <w:start w:val="1"/>
      <w:suff w:val="tab"/>
    </w:lvl>
  </w:abstractNum>
  <w:abstractNum w:abstractNumId="4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1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73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45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17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89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1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33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055"/>
      </w:pPr>
      <w:rPr/>
      <w:start w:val="1"/>
      <w:suff w:val="tab"/>
    </w:lvl>
  </w:abstractNum>
  <w:num w:numId="1">
    <w:abstractNumId w:val="21"/>
  </w:num>
  <w:num w:numId="2">
    <w:abstractNumId w:val="26"/>
  </w:num>
  <w:num w:numId="3">
    <w:abstractNumId w:val="19"/>
  </w:num>
  <w:num w:numId="4">
    <w:abstractNumId w:val="18"/>
  </w:num>
  <w:num w:numId="5">
    <w:abstractNumId w:val="14"/>
  </w:num>
  <w:num w:numId="6">
    <w:abstractNumId w:val="13"/>
  </w:num>
  <w:num w:numId="7">
    <w:abstractNumId w:val="23"/>
  </w:num>
  <w:num w:numId="8">
    <w:abstractNumId w:val="16"/>
  </w:num>
  <w:num w:numId="9">
    <w:abstractNumId w:val="11"/>
  </w:num>
  <w:num w:numId="10">
    <w:abstractNumId w:val="20"/>
  </w:num>
  <w:num w:numId="11">
    <w:abstractNumId w:val="17"/>
  </w:num>
  <w:num w:numId="12">
    <w:abstractNumId w:val="6"/>
  </w:num>
  <w:num w:numId="13">
    <w:abstractNumId w:val="27"/>
  </w:num>
  <w:num w:numId="14">
    <w:abstractNumId w:val="9"/>
  </w:num>
  <w:num w:numId="15">
    <w:abstractNumId w:val="15"/>
  </w:num>
  <w:num w:numId="16">
    <w:abstractNumId w:val="5"/>
  </w:num>
  <w:num w:numId="17">
    <w:abstractNumId w:val="28"/>
  </w:num>
  <w:num w:numId="18">
    <w:abstractNumId w:val="3"/>
  </w:num>
  <w:num w:numId="19">
    <w:abstractNumId w:val="22"/>
  </w:num>
  <w:num w:numId="20">
    <w:abstractNumId w:val="8"/>
  </w:num>
  <w:num w:numId="21">
    <w:abstractNumId w:val="1"/>
  </w:num>
  <w:num w:numId="22">
    <w:abstractNumId w:val="25"/>
  </w:num>
  <w:num w:numId="23">
    <w:abstractNumId w:val="10"/>
  </w:num>
  <w:num w:numId="24">
    <w:abstractNumId w:val="2"/>
  </w:num>
  <w:num w:numId="25">
    <w:abstractNumId w:val="7"/>
  </w:num>
  <w:num w:numId="26">
    <w:abstractNumId w:val="12"/>
  </w:num>
  <w:num w:numId="27">
    <w:abstractNumId w:val="4"/>
  </w:num>
  <w:num w:numId="28">
    <w:abstractNumId w:val="24"/>
  </w:num>
  <w:num w:numId="29">
    <w:abstractNumId w:val="29"/>
  </w:num>
  <w:num w:numId="30">
    <w:abstractNumId w:val="0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95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95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95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95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95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95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95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95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83">
    <w:name w:val="Heading 1 Char"/>
    <w:basedOn w:val="959"/>
    <w:link w:val="95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84">
    <w:name w:val="Heading 2"/>
    <w:basedOn w:val="957"/>
    <w:next w:val="957"/>
    <w:link w:val="78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85">
    <w:name w:val="Heading 2 Char"/>
    <w:basedOn w:val="959"/>
    <w:link w:val="784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86">
    <w:name w:val="Heading 3"/>
    <w:basedOn w:val="957"/>
    <w:next w:val="957"/>
    <w:link w:val="78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87">
    <w:name w:val="Heading 3 Char"/>
    <w:basedOn w:val="959"/>
    <w:link w:val="78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88">
    <w:name w:val="Heading 4"/>
    <w:basedOn w:val="957"/>
    <w:next w:val="957"/>
    <w:link w:val="78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9">
    <w:name w:val="Heading 4 Char"/>
    <w:basedOn w:val="959"/>
    <w:link w:val="78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90">
    <w:name w:val="Heading 5"/>
    <w:basedOn w:val="957"/>
    <w:next w:val="957"/>
    <w:link w:val="79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1">
    <w:name w:val="Heading 5 Char"/>
    <w:basedOn w:val="959"/>
    <w:link w:val="79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92">
    <w:name w:val="Heading 6"/>
    <w:basedOn w:val="957"/>
    <w:next w:val="957"/>
    <w:link w:val="79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3">
    <w:name w:val="Heading 6 Char"/>
    <w:basedOn w:val="959"/>
    <w:link w:val="79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94">
    <w:name w:val="Heading 7"/>
    <w:basedOn w:val="957"/>
    <w:next w:val="957"/>
    <w:link w:val="79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5">
    <w:name w:val="Heading 7 Char"/>
    <w:basedOn w:val="959"/>
    <w:link w:val="79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6">
    <w:name w:val="Heading 8"/>
    <w:basedOn w:val="957"/>
    <w:next w:val="957"/>
    <w:link w:val="79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7">
    <w:name w:val="Heading 8 Char"/>
    <w:basedOn w:val="959"/>
    <w:link w:val="79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98">
    <w:name w:val="Heading 9"/>
    <w:basedOn w:val="957"/>
    <w:next w:val="957"/>
    <w:link w:val="79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9">
    <w:name w:val="Heading 9 Char"/>
    <w:basedOn w:val="959"/>
    <w:link w:val="79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00">
    <w:name w:val="No Spacing"/>
    <w:uiPriority w:val="1"/>
    <w:qFormat/>
    <w:pPr>
      <w:pBdr/>
      <w:spacing w:after="0" w:before="0" w:line="240" w:lineRule="auto"/>
      <w:ind/>
    </w:pPr>
  </w:style>
  <w:style w:type="paragraph" w:styleId="801">
    <w:name w:val="Title"/>
    <w:basedOn w:val="957"/>
    <w:next w:val="957"/>
    <w:link w:val="80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02">
    <w:name w:val="Title Char"/>
    <w:basedOn w:val="959"/>
    <w:link w:val="801"/>
    <w:uiPriority w:val="10"/>
    <w:pPr>
      <w:pBdr/>
      <w:spacing/>
      <w:ind/>
    </w:pPr>
    <w:rPr>
      <w:sz w:val="48"/>
      <w:szCs w:val="48"/>
    </w:rPr>
  </w:style>
  <w:style w:type="paragraph" w:styleId="803">
    <w:name w:val="Subtitle"/>
    <w:basedOn w:val="957"/>
    <w:next w:val="957"/>
    <w:link w:val="80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04">
    <w:name w:val="Subtitle Char"/>
    <w:basedOn w:val="959"/>
    <w:link w:val="803"/>
    <w:uiPriority w:val="11"/>
    <w:pPr>
      <w:pBdr/>
      <w:spacing/>
      <w:ind/>
    </w:pPr>
    <w:rPr>
      <w:sz w:val="24"/>
      <w:szCs w:val="24"/>
    </w:rPr>
  </w:style>
  <w:style w:type="paragraph" w:styleId="805">
    <w:name w:val="Quote"/>
    <w:basedOn w:val="957"/>
    <w:next w:val="957"/>
    <w:link w:val="806"/>
    <w:uiPriority w:val="29"/>
    <w:qFormat/>
    <w:pPr>
      <w:pBdr/>
      <w:spacing/>
      <w:ind w:right="720" w:left="720"/>
    </w:pPr>
    <w:rPr>
      <w:i/>
    </w:rPr>
  </w:style>
  <w:style w:type="character" w:styleId="806">
    <w:name w:val="Quote Char"/>
    <w:link w:val="805"/>
    <w:uiPriority w:val="29"/>
    <w:pPr>
      <w:pBdr/>
      <w:spacing/>
      <w:ind/>
    </w:pPr>
    <w:rPr>
      <w:i/>
    </w:rPr>
  </w:style>
  <w:style w:type="paragraph" w:styleId="807">
    <w:name w:val="Intense Quote"/>
    <w:basedOn w:val="957"/>
    <w:next w:val="957"/>
    <w:link w:val="80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08">
    <w:name w:val="Intense Quote Char"/>
    <w:link w:val="807"/>
    <w:uiPriority w:val="30"/>
    <w:pPr>
      <w:pBdr/>
      <w:spacing/>
      <w:ind/>
    </w:pPr>
    <w:rPr>
      <w:i/>
    </w:rPr>
  </w:style>
  <w:style w:type="character" w:styleId="809">
    <w:name w:val="Header Char"/>
    <w:basedOn w:val="959"/>
    <w:link w:val="963"/>
    <w:uiPriority w:val="99"/>
    <w:pPr>
      <w:pBdr/>
      <w:spacing/>
      <w:ind/>
    </w:pPr>
  </w:style>
  <w:style w:type="character" w:styleId="810">
    <w:name w:val="Footer Char"/>
    <w:basedOn w:val="959"/>
    <w:link w:val="965"/>
    <w:uiPriority w:val="99"/>
    <w:pPr>
      <w:pBdr/>
      <w:spacing/>
      <w:ind/>
    </w:pPr>
  </w:style>
  <w:style w:type="paragraph" w:styleId="811">
    <w:name w:val="Caption"/>
    <w:basedOn w:val="957"/>
    <w:next w:val="95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12">
    <w:name w:val="Caption Char"/>
    <w:basedOn w:val="811"/>
    <w:link w:val="965"/>
    <w:uiPriority w:val="99"/>
    <w:pPr>
      <w:pBdr/>
      <w:spacing/>
      <w:ind/>
    </w:pPr>
  </w:style>
  <w:style w:type="table" w:styleId="813">
    <w:name w:val="Table Grid"/>
    <w:basedOn w:val="96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Table Grid Light"/>
    <w:basedOn w:val="9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1"/>
    <w:basedOn w:val="9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2"/>
    <w:basedOn w:val="9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3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Plain Table 4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Plain Table 5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- Accent 1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- Accent 2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- Accent 3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- Accent 4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1 Light - Accent 5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1 Light - Accent 6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- Accent 1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- Accent 2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- Accent 3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- Accent 4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2 - Accent 5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2 - Accent 6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- Accent 1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- Accent 2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- Accent 3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- Accent 4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3 - Accent 5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3 - Accent 6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"/>
    <w:basedOn w:val="9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- Accent 1"/>
    <w:basedOn w:val="9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- Accent 2"/>
    <w:basedOn w:val="9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- Accent 3"/>
    <w:basedOn w:val="9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- Accent 4"/>
    <w:basedOn w:val="9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4 - Accent 5"/>
    <w:basedOn w:val="9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4 - Accent 6"/>
    <w:basedOn w:val="9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- Accent 1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5 Dark - Accent 2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- Accent 3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- Accent 4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5 Dark - Accent 5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5 Dark - Accent 6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- Accent 1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- Accent 2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- Accent 3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- Accent 4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6 Colorful - Accent 5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6 Colorful - Accent 6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- Accent 1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- Accent 2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- Accent 3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- Accent 4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7 Colorful - Accent 5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7 Colorful - Accent 6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- Accent 1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- Accent 2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- Accent 3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- Accent 4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1 Light - Accent 5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1 Light - Accent 6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- Accent 1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- Accent 2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- Accent 3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- Accent 4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2 - Accent 5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2 - Accent 6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- Accent 1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- Accent 2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- Accent 3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- Accent 4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3 - Accent 5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3 - Accent 6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- Accent 1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- Accent 2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- Accent 3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- Accent 4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4 - Accent 5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4 - Accent 6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- Accent 1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- Accent 2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- Accent 3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- Accent 4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5 Dark - Accent 5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5 Dark - Accent 6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- Accent 1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- Accent 2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- Accent 3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- Accent 4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6 Colorful - Accent 5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6 Colorful - Accent 6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- Accent 1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- Accent 2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- Accent 3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- Accent 4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7 Colorful - Accent 5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7 Colorful - Accent 6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ned - Accent"/>
    <w:basedOn w:val="9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ned - Accent 1"/>
    <w:basedOn w:val="9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ned - Accent 2"/>
    <w:basedOn w:val="9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ned - Accent 3"/>
    <w:basedOn w:val="9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ned - Accent 4"/>
    <w:basedOn w:val="9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ned - Accent 5"/>
    <w:basedOn w:val="9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ned - Accent 6"/>
    <w:basedOn w:val="9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 &amp; Lined - Accent"/>
    <w:basedOn w:val="9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&amp; Lined - Accent 1"/>
    <w:basedOn w:val="9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&amp; Lined - Accent 2"/>
    <w:basedOn w:val="9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&amp; Lined - Accent 3"/>
    <w:basedOn w:val="9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 &amp; Lined - Accent 4"/>
    <w:basedOn w:val="9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&amp; Lined - Accent 5"/>
    <w:basedOn w:val="9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&amp; Lined - Accent 6"/>
    <w:basedOn w:val="9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 - Accent 1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- Accent 2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- Accent 3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- Accent 4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Bordered - Accent 5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Bordered - Accent 6"/>
    <w:basedOn w:val="9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9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40">
    <w:name w:val="footnote text"/>
    <w:basedOn w:val="957"/>
    <w:link w:val="941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41">
    <w:name w:val="Footnote Text Char"/>
    <w:link w:val="940"/>
    <w:uiPriority w:val="99"/>
    <w:pPr>
      <w:pBdr/>
      <w:spacing/>
      <w:ind/>
    </w:pPr>
    <w:rPr>
      <w:sz w:val="18"/>
    </w:rPr>
  </w:style>
  <w:style w:type="character" w:styleId="942">
    <w:name w:val="footnote reference"/>
    <w:basedOn w:val="959"/>
    <w:uiPriority w:val="99"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957"/>
    <w:link w:val="94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44">
    <w:name w:val="Endnote Text Char"/>
    <w:link w:val="943"/>
    <w:uiPriority w:val="99"/>
    <w:pPr>
      <w:pBdr/>
      <w:spacing/>
      <w:ind/>
    </w:pPr>
    <w:rPr>
      <w:sz w:val="20"/>
    </w:rPr>
  </w:style>
  <w:style w:type="character" w:styleId="945">
    <w:name w:val="endnote reference"/>
    <w:basedOn w:val="959"/>
    <w:uiPriority w:val="99"/>
    <w:semiHidden/>
    <w:unhideWhenUsed/>
    <w:pPr>
      <w:pBdr/>
      <w:spacing/>
      <w:ind/>
    </w:pPr>
    <w:rPr>
      <w:vertAlign w:val="superscript"/>
    </w:rPr>
  </w:style>
  <w:style w:type="paragraph" w:styleId="946">
    <w:name w:val="toc 1"/>
    <w:basedOn w:val="957"/>
    <w:next w:val="957"/>
    <w:uiPriority w:val="39"/>
    <w:unhideWhenUsed/>
    <w:pPr>
      <w:pBdr/>
      <w:spacing w:after="57"/>
      <w:ind w:right="0" w:firstLine="0" w:left="0"/>
    </w:pPr>
  </w:style>
  <w:style w:type="paragraph" w:styleId="947">
    <w:name w:val="toc 2"/>
    <w:basedOn w:val="957"/>
    <w:next w:val="957"/>
    <w:uiPriority w:val="39"/>
    <w:unhideWhenUsed/>
    <w:pPr>
      <w:pBdr/>
      <w:spacing w:after="57"/>
      <w:ind w:right="0" w:firstLine="0" w:left="283"/>
    </w:pPr>
  </w:style>
  <w:style w:type="paragraph" w:styleId="948">
    <w:name w:val="toc 3"/>
    <w:basedOn w:val="957"/>
    <w:next w:val="957"/>
    <w:uiPriority w:val="39"/>
    <w:unhideWhenUsed/>
    <w:pPr>
      <w:pBdr/>
      <w:spacing w:after="57"/>
      <w:ind w:right="0" w:firstLine="0" w:left="567"/>
    </w:pPr>
  </w:style>
  <w:style w:type="paragraph" w:styleId="949">
    <w:name w:val="toc 4"/>
    <w:basedOn w:val="957"/>
    <w:next w:val="957"/>
    <w:uiPriority w:val="39"/>
    <w:unhideWhenUsed/>
    <w:pPr>
      <w:pBdr/>
      <w:spacing w:after="57"/>
      <w:ind w:right="0" w:firstLine="0" w:left="850"/>
    </w:pPr>
  </w:style>
  <w:style w:type="paragraph" w:styleId="950">
    <w:name w:val="toc 5"/>
    <w:basedOn w:val="957"/>
    <w:next w:val="957"/>
    <w:uiPriority w:val="39"/>
    <w:unhideWhenUsed/>
    <w:pPr>
      <w:pBdr/>
      <w:spacing w:after="57"/>
      <w:ind w:right="0" w:firstLine="0" w:left="1134"/>
    </w:pPr>
  </w:style>
  <w:style w:type="paragraph" w:styleId="951">
    <w:name w:val="toc 6"/>
    <w:basedOn w:val="957"/>
    <w:next w:val="957"/>
    <w:uiPriority w:val="39"/>
    <w:unhideWhenUsed/>
    <w:pPr>
      <w:pBdr/>
      <w:spacing w:after="57"/>
      <w:ind w:right="0" w:firstLine="0" w:left="1417"/>
    </w:pPr>
  </w:style>
  <w:style w:type="paragraph" w:styleId="952">
    <w:name w:val="toc 7"/>
    <w:basedOn w:val="957"/>
    <w:next w:val="957"/>
    <w:uiPriority w:val="39"/>
    <w:unhideWhenUsed/>
    <w:pPr>
      <w:pBdr/>
      <w:spacing w:after="57"/>
      <w:ind w:right="0" w:firstLine="0" w:left="1701"/>
    </w:pPr>
  </w:style>
  <w:style w:type="paragraph" w:styleId="953">
    <w:name w:val="toc 8"/>
    <w:basedOn w:val="957"/>
    <w:next w:val="957"/>
    <w:uiPriority w:val="39"/>
    <w:unhideWhenUsed/>
    <w:pPr>
      <w:pBdr/>
      <w:spacing w:after="57"/>
      <w:ind w:right="0" w:firstLine="0" w:left="1984"/>
    </w:pPr>
  </w:style>
  <w:style w:type="paragraph" w:styleId="954">
    <w:name w:val="toc 9"/>
    <w:basedOn w:val="957"/>
    <w:next w:val="957"/>
    <w:uiPriority w:val="39"/>
    <w:unhideWhenUsed/>
    <w:pPr>
      <w:pBdr/>
      <w:spacing w:after="57"/>
      <w:ind w:right="0" w:firstLine="0" w:left="2268"/>
    </w:pPr>
  </w:style>
  <w:style w:type="paragraph" w:styleId="955">
    <w:name w:val="TOC Heading"/>
    <w:uiPriority w:val="39"/>
    <w:unhideWhenUsed/>
    <w:pPr>
      <w:pBdr/>
      <w:spacing/>
      <w:ind/>
    </w:pPr>
  </w:style>
  <w:style w:type="paragraph" w:styleId="956">
    <w:name w:val="table of figures"/>
    <w:basedOn w:val="957"/>
    <w:next w:val="957"/>
    <w:uiPriority w:val="99"/>
    <w:unhideWhenUsed/>
    <w:pPr>
      <w:pBdr/>
      <w:spacing w:after="0" w:afterAutospacing="0"/>
      <w:ind/>
    </w:pPr>
  </w:style>
  <w:style w:type="paragraph" w:styleId="957" w:default="1">
    <w:name w:val="Normal"/>
    <w:qFormat/>
    <w:pPr>
      <w:pBdr/>
      <w:spacing/>
      <w:ind/>
    </w:pPr>
  </w:style>
  <w:style w:type="paragraph" w:styleId="958">
    <w:name w:val="Heading 1"/>
    <w:basedOn w:val="957"/>
    <w:next w:val="957"/>
    <w:link w:val="968"/>
    <w:uiPriority w:val="9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959" w:default="1">
    <w:name w:val="Default Paragraph Font"/>
    <w:uiPriority w:val="1"/>
    <w:semiHidden/>
    <w:unhideWhenUsed/>
    <w:pPr>
      <w:pBdr/>
      <w:spacing/>
      <w:ind/>
    </w:pPr>
  </w:style>
  <w:style w:type="table" w:styleId="960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1" w:default="1">
    <w:name w:val="No List"/>
    <w:uiPriority w:val="99"/>
    <w:semiHidden/>
    <w:unhideWhenUsed/>
    <w:pPr>
      <w:pBdr/>
      <w:spacing/>
      <w:ind/>
    </w:pPr>
  </w:style>
  <w:style w:type="paragraph" w:styleId="962">
    <w:name w:val="List Paragraph"/>
    <w:basedOn w:val="957"/>
    <w:link w:val="967"/>
    <w:uiPriority w:val="34"/>
    <w:qFormat/>
    <w:pPr>
      <w:pBdr/>
      <w:spacing/>
      <w:ind w:left="720"/>
      <w:contextualSpacing w:val="true"/>
    </w:pPr>
  </w:style>
  <w:style w:type="paragraph" w:styleId="963">
    <w:name w:val="Header"/>
    <w:basedOn w:val="957"/>
    <w:link w:val="964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64" w:customStyle="1">
    <w:name w:val="Nagłówek Znak"/>
    <w:basedOn w:val="959"/>
    <w:link w:val="963"/>
    <w:uiPriority w:val="99"/>
    <w:pPr>
      <w:pBdr/>
      <w:spacing/>
      <w:ind/>
    </w:pPr>
  </w:style>
  <w:style w:type="paragraph" w:styleId="965">
    <w:name w:val="Footer"/>
    <w:basedOn w:val="957"/>
    <w:link w:val="966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66" w:customStyle="1">
    <w:name w:val="Stopka Znak"/>
    <w:basedOn w:val="959"/>
    <w:link w:val="965"/>
    <w:uiPriority w:val="99"/>
    <w:pPr>
      <w:pBdr/>
      <w:spacing/>
      <w:ind/>
    </w:pPr>
  </w:style>
  <w:style w:type="character" w:styleId="967" w:customStyle="1">
    <w:name w:val="Akapit z listą Znak"/>
    <w:link w:val="962"/>
    <w:uiPriority w:val="34"/>
    <w:qFormat/>
    <w:pPr>
      <w:pBdr/>
      <w:spacing/>
      <w:ind/>
    </w:pPr>
  </w:style>
  <w:style w:type="character" w:styleId="968" w:customStyle="1">
    <w:name w:val="Nagłówek 1 Znak"/>
    <w:basedOn w:val="959"/>
    <w:link w:val="958"/>
    <w:uiPriority w:val="9"/>
    <w:pPr>
      <w:pBdr/>
      <w:spacing/>
      <w:ind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969">
    <w:name w:val="annotation reference"/>
    <w:basedOn w:val="959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70">
    <w:name w:val="annotation text"/>
    <w:basedOn w:val="957"/>
    <w:link w:val="971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971" w:customStyle="1">
    <w:name w:val="Tekst komentarza Znak"/>
    <w:basedOn w:val="959"/>
    <w:link w:val="970"/>
    <w:uiPriority w:val="99"/>
    <w:semiHidden/>
    <w:pPr>
      <w:pBdr/>
      <w:spacing/>
      <w:ind/>
    </w:pPr>
    <w:rPr>
      <w:sz w:val="20"/>
      <w:szCs w:val="20"/>
    </w:rPr>
  </w:style>
  <w:style w:type="paragraph" w:styleId="972">
    <w:name w:val="annotation subject"/>
    <w:basedOn w:val="970"/>
    <w:next w:val="970"/>
    <w:link w:val="973"/>
    <w:uiPriority w:val="99"/>
    <w:semiHidden/>
    <w:unhideWhenUsed/>
    <w:pPr>
      <w:pBdr/>
      <w:spacing/>
      <w:ind/>
    </w:pPr>
    <w:rPr>
      <w:b/>
      <w:bCs/>
    </w:rPr>
  </w:style>
  <w:style w:type="character" w:styleId="973" w:customStyle="1">
    <w:name w:val="Temat komentarza Znak"/>
    <w:basedOn w:val="971"/>
    <w:link w:val="972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74">
    <w:name w:val="Balloon Text"/>
    <w:basedOn w:val="957"/>
    <w:link w:val="975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75" w:customStyle="1">
    <w:name w:val="Tekst dymka Znak"/>
    <w:basedOn w:val="959"/>
    <w:link w:val="97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76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bipbraniewo.warmia.mazury.pl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dosto</dc:creator>
  <cp:revision>28</cp:revision>
  <dcterms:created xsi:type="dcterms:W3CDTF">2023-12-13T22:47:00Z</dcterms:created>
  <dcterms:modified xsi:type="dcterms:W3CDTF">2024-08-21T09:25:08Z</dcterms:modified>
</cp:coreProperties>
</file>