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377" w:rsidRPr="006A4479" w:rsidRDefault="009B5377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Ind w:w="-39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6"/>
        <w:gridCol w:w="2015"/>
        <w:gridCol w:w="8497"/>
        <w:gridCol w:w="3189"/>
      </w:tblGrid>
      <w:tr w:rsidR="009B5377" w:rsidRPr="006A4479" w:rsidTr="00C2381B">
        <w:trPr>
          <w:trHeight w:val="284"/>
        </w:trPr>
        <w:tc>
          <w:tcPr>
            <w:tcW w:w="11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377" w:rsidRPr="006A4479" w:rsidRDefault="006A4479">
            <w:pPr>
              <w:widowControl w:val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OPIS PRZEDMIOTU ZAMÓWIENIA – ZAŁĄCZNIK NR 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377" w:rsidRPr="006A4479" w:rsidRDefault="00ED3166">
            <w:pPr>
              <w:widowControl w:val="0"/>
              <w:ind w:left="-71"/>
              <w:jc w:val="both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6A4479">
              <w:rPr>
                <w:rFonts w:asciiTheme="minorHAnsi" w:hAnsiTheme="minorHAnsi" w:cstheme="minorHAnsi"/>
                <w:b/>
                <w:sz w:val="20"/>
                <w:u w:val="single"/>
              </w:rPr>
              <w:t>Wykonawca wypełnia  poniższą kolumnę nr 2</w:t>
            </w:r>
          </w:p>
        </w:tc>
      </w:tr>
      <w:tr w:rsidR="009B5377" w:rsidRPr="006A4479" w:rsidTr="00C2381B">
        <w:trPr>
          <w:trHeight w:val="284"/>
        </w:trPr>
        <w:tc>
          <w:tcPr>
            <w:tcW w:w="11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377" w:rsidRPr="006A4479" w:rsidRDefault="00ED3166">
            <w:pPr>
              <w:widowControl w:val="0"/>
              <w:ind w:left="-71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6A4479">
              <w:rPr>
                <w:rFonts w:asciiTheme="minorHAnsi" w:hAnsiTheme="minorHAnsi" w:cstheme="minorHAnsi"/>
                <w:b/>
                <w:sz w:val="20"/>
              </w:rPr>
              <w:t>Kolumna nr 2:</w:t>
            </w:r>
          </w:p>
        </w:tc>
      </w:tr>
      <w:tr w:rsidR="009B5377" w:rsidRPr="006A4479" w:rsidTr="00C2381B">
        <w:trPr>
          <w:trHeight w:val="284"/>
        </w:trPr>
        <w:tc>
          <w:tcPr>
            <w:tcW w:w="11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/>
                <w:sz w:val="20"/>
              </w:rPr>
            </w:pPr>
            <w:r w:rsidRPr="006A4479">
              <w:rPr>
                <w:rFonts w:asciiTheme="minorHAnsi" w:hAnsiTheme="minorHAnsi" w:cstheme="minorHAnsi"/>
                <w:b/>
                <w:sz w:val="20"/>
              </w:rPr>
              <w:t>Szczegółowy opis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377" w:rsidRPr="006A4479" w:rsidRDefault="00ED3166">
            <w:pPr>
              <w:widowControl w:val="0"/>
              <w:ind w:left="-71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6A4479">
              <w:rPr>
                <w:rFonts w:asciiTheme="minorHAnsi" w:hAnsiTheme="minorHAnsi" w:cstheme="minorHAnsi"/>
                <w:b/>
                <w:sz w:val="20"/>
              </w:rPr>
              <w:t>Parametry oferowanego sprzętu:</w:t>
            </w:r>
          </w:p>
        </w:tc>
      </w:tr>
      <w:tr w:rsidR="009B5377" w:rsidRPr="006A4479" w:rsidTr="00C2381B">
        <w:trPr>
          <w:trHeight w:val="284"/>
        </w:trPr>
        <w:tc>
          <w:tcPr>
            <w:tcW w:w="11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/>
                <w:sz w:val="20"/>
              </w:rPr>
            </w:pPr>
            <w:r w:rsidRPr="006A4479">
              <w:rPr>
                <w:rFonts w:asciiTheme="minorHAnsi" w:hAnsiTheme="minorHAnsi" w:cstheme="minorHAnsi"/>
                <w:b/>
                <w:sz w:val="20"/>
              </w:rPr>
              <w:t>Komputer przenośny.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 xml:space="preserve">W ofercie ( kolumna nr 2) należy podać nazwę producenta, typ, model, oraz numer katalogowy (numer konfiguracji lub part numer) oferowanego sprzętu umożliwiający jednoznaczną identyfikację oferowanej konfiguracji.  , 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Wymagany sprzęt musi posiadać: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- oznaczenie CE,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color w:val="000000"/>
                <w:sz w:val="20"/>
              </w:rPr>
              <w:t>- deklarację zgodności CE,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color w:val="000000"/>
                <w:sz w:val="20"/>
              </w:rPr>
              <w:t>-</w:t>
            </w:r>
            <w:r w:rsidRPr="006A4479">
              <w:rPr>
                <w:rFonts w:asciiTheme="minorHAnsi" w:hAnsiTheme="minorHAnsi" w:cstheme="minorHAnsi"/>
                <w:bCs/>
                <w:sz w:val="20"/>
              </w:rPr>
              <w:t xml:space="preserve">zgodność z dyrektywą </w:t>
            </w:r>
            <w:proofErr w:type="spellStart"/>
            <w:r w:rsidRPr="006A4479">
              <w:rPr>
                <w:rFonts w:asciiTheme="minorHAnsi" w:hAnsiTheme="minorHAnsi" w:cstheme="minorHAnsi"/>
                <w:bCs/>
                <w:sz w:val="20"/>
              </w:rPr>
              <w:t>RoHS</w:t>
            </w:r>
            <w:proofErr w:type="spellEnd"/>
            <w:r w:rsidRPr="006A4479">
              <w:rPr>
                <w:rFonts w:asciiTheme="minorHAnsi" w:hAnsiTheme="minorHAnsi" w:cstheme="minorHAnsi"/>
                <w:bCs/>
                <w:sz w:val="20"/>
              </w:rPr>
              <w:t xml:space="preserve"> Unii Europejskiej o eliminacji substancji niebezpiecznych.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 xml:space="preserve">Nie dopuszcza się zaoferowania komputera </w:t>
            </w:r>
            <w:proofErr w:type="spellStart"/>
            <w:r w:rsidRPr="006A4479">
              <w:rPr>
                <w:rFonts w:asciiTheme="minorHAnsi" w:hAnsiTheme="minorHAnsi" w:cstheme="minorHAnsi"/>
                <w:bCs/>
                <w:sz w:val="20"/>
              </w:rPr>
              <w:t>refurbished</w:t>
            </w:r>
            <w:proofErr w:type="spellEnd"/>
            <w:r w:rsidRPr="006A4479">
              <w:rPr>
                <w:rFonts w:asciiTheme="minorHAnsi" w:hAnsiTheme="minorHAnsi" w:cstheme="minorHAnsi"/>
                <w:bCs/>
                <w:sz w:val="20"/>
              </w:rPr>
              <w:t>.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Nie dopuszcza się modyfikacji na drodze Producent-Zamawiający.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Producent:………………………….</w:t>
            </w:r>
          </w:p>
          <w:p w:rsidR="009B5377" w:rsidRPr="006A4479" w:rsidRDefault="00ED3166">
            <w:pPr>
              <w:widowControl w:val="0"/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Typ:…………………………………….</w:t>
            </w:r>
          </w:p>
          <w:p w:rsidR="009B5377" w:rsidRPr="006A4479" w:rsidRDefault="00ED3166">
            <w:pPr>
              <w:widowControl w:val="0"/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Model:</w:t>
            </w:r>
            <w:r w:rsidR="008F365F" w:rsidRPr="006A4479">
              <w:rPr>
                <w:rFonts w:asciiTheme="minorHAnsi" w:hAnsiTheme="minorHAnsi" w:cstheme="minorHAnsi"/>
                <w:sz w:val="20"/>
              </w:rPr>
              <w:t>…………………………………</w:t>
            </w:r>
          </w:p>
          <w:p w:rsidR="009B5377" w:rsidRPr="006A4479" w:rsidRDefault="00ED3166">
            <w:pPr>
              <w:widowControl w:val="0"/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Numer katalogowy (numer konfiguracji lub part numer):</w:t>
            </w:r>
          </w:p>
          <w:p w:rsidR="009B5377" w:rsidRPr="006A4479" w:rsidRDefault="00ED3166">
            <w:pPr>
              <w:widowControl w:val="0"/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………………………………………….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b/>
                <w:sz w:val="20"/>
              </w:rPr>
              <w:t>Do oferty należy załączyć katalog producenta</w:t>
            </w:r>
            <w:r w:rsidRPr="006A447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A4479">
              <w:rPr>
                <w:rFonts w:asciiTheme="minorHAnsi" w:hAnsiTheme="minorHAnsi" w:cstheme="minorHAnsi"/>
                <w:b/>
                <w:sz w:val="20"/>
              </w:rPr>
              <w:t>zaoferowanego produktu umożliwiający weryfikację oferty pod kątem zgodności z wymaganiami Zamawiającego.</w:t>
            </w:r>
          </w:p>
          <w:p w:rsidR="009B5377" w:rsidRPr="006A4479" w:rsidRDefault="009B5377">
            <w:pPr>
              <w:widowControl w:val="0"/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  <w:p w:rsidR="009B5377" w:rsidRPr="006A4479" w:rsidRDefault="009B5377">
            <w:pPr>
              <w:widowControl w:val="0"/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  <w:p w:rsidR="009B5377" w:rsidRPr="006A4479" w:rsidRDefault="009B5377">
            <w:pPr>
              <w:widowControl w:val="0"/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5377" w:rsidRPr="006A4479" w:rsidTr="00C2381B">
        <w:trPr>
          <w:trHeight w:val="284"/>
        </w:trPr>
        <w:tc>
          <w:tcPr>
            <w:tcW w:w="11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/>
                <w:sz w:val="20"/>
                <w:lang w:eastAsia="en-US"/>
              </w:rPr>
              <w:t>Lp.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/>
                <w:sz w:val="20"/>
              </w:rPr>
              <w:t>Nazwa komponentu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b/>
                <w:sz w:val="20"/>
              </w:rPr>
              <w:t>Wymagane minimalne parametry techniczne komputerów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b/>
                <w:sz w:val="20"/>
              </w:rPr>
              <w:t>Parametry oferowanego sprzętu:</w:t>
            </w: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Procesor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 xml:space="preserve">Procesor wielordzeniowy ze zintegrowaną grafiką, zaprojektowany do pracy w komputerach przenośnych klasy x86, 6250 pkt wydajności na podstawie </w:t>
            </w:r>
            <w:proofErr w:type="spellStart"/>
            <w:r w:rsidRPr="006A4479">
              <w:rPr>
                <w:rFonts w:asciiTheme="minorHAnsi" w:hAnsiTheme="minorHAnsi" w:cstheme="minorHAnsi"/>
                <w:sz w:val="20"/>
              </w:rPr>
              <w:t>PerformanceTest</w:t>
            </w:r>
            <w:proofErr w:type="spellEnd"/>
            <w:r w:rsidRPr="006A4479">
              <w:rPr>
                <w:rFonts w:asciiTheme="minorHAnsi" w:hAnsiTheme="minorHAnsi" w:cstheme="minorHAnsi"/>
                <w:sz w:val="20"/>
              </w:rPr>
              <w:t xml:space="preserve"> w teście CPU Mark według wyników opublikowanych na </w:t>
            </w:r>
            <w:hyperlink r:id="rId11">
              <w:r w:rsidRPr="006A4479">
                <w:rPr>
                  <w:rStyle w:val="czeinternetowe"/>
                  <w:rFonts w:asciiTheme="minorHAnsi" w:hAnsiTheme="minorHAnsi" w:cstheme="minorHAnsi"/>
                  <w:sz w:val="20"/>
                </w:rPr>
                <w:t>http://www.cpubenchmark.net/</w:t>
              </w:r>
            </w:hyperlink>
            <w:r w:rsidRPr="006A4479">
              <w:rPr>
                <w:rFonts w:asciiTheme="minorHAnsi" w:hAnsiTheme="minorHAnsi" w:cstheme="minorHAnsi"/>
                <w:sz w:val="20"/>
              </w:rPr>
              <w:t>. (na dzień 21.04.2022 r.) Wykonawca w składanej ofercie winien podać dokładny model oferowanego podzespołu.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Procesor wykonany w litografii nie większej niż 10nm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outlineLvl w:val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9B5377">
            <w:pPr>
              <w:widowControl w:val="0"/>
              <w:outlineLvl w:val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  <w:p w:rsidR="009B5377" w:rsidRPr="006A4479" w:rsidRDefault="009B5377">
            <w:pPr>
              <w:widowControl w:val="0"/>
              <w:outlineLvl w:val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  <w:p w:rsidR="009B5377" w:rsidRPr="006A4479" w:rsidRDefault="009B5377">
            <w:pPr>
              <w:widowControl w:val="0"/>
              <w:outlineLvl w:val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b/>
                <w:sz w:val="20"/>
              </w:rPr>
              <w:t>Do oferty należy załączyć wydruk z przeprowadzonych testów</w:t>
            </w:r>
            <w:r w:rsidRPr="006A447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A4479">
              <w:rPr>
                <w:rFonts w:asciiTheme="minorHAnsi" w:hAnsiTheme="minorHAnsi" w:cstheme="minorHAnsi"/>
                <w:b/>
                <w:sz w:val="20"/>
              </w:rPr>
              <w:t xml:space="preserve">na konfiguracji identycznej z </w:t>
            </w:r>
            <w:r w:rsidRPr="006A4479">
              <w:rPr>
                <w:rFonts w:asciiTheme="minorHAnsi" w:hAnsiTheme="minorHAnsi" w:cstheme="minorHAnsi"/>
                <w:b/>
                <w:sz w:val="20"/>
              </w:rPr>
              <w:lastRenderedPageBreak/>
              <w:t>zaoferowaną lub link do strony producenta testu z opublikowanym wynikiem.</w:t>
            </w: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Pamięć operacyjna RAM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Min 8GB, rodzaj pamięci DDR4 min. 3200MHz.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9B5377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Parametry pamięci masowej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 xml:space="preserve">Min 256GB SSD </w:t>
            </w:r>
            <w:proofErr w:type="spellStart"/>
            <w:r w:rsidRPr="006A4479">
              <w:rPr>
                <w:rFonts w:asciiTheme="minorHAnsi" w:hAnsiTheme="minorHAnsi" w:cstheme="minorHAnsi"/>
                <w:sz w:val="20"/>
              </w:rPr>
              <w:t>NVMe</w:t>
            </w:r>
            <w:proofErr w:type="spellEnd"/>
            <w:r w:rsidRPr="006A4479">
              <w:rPr>
                <w:rFonts w:asciiTheme="minorHAnsi" w:hAnsiTheme="minorHAnsi" w:cstheme="minorHAnsi"/>
                <w:sz w:val="20"/>
              </w:rPr>
              <w:t>, zawierający RECOVERY umożliwiające odtworzenie systemu operacyjnego fabrycznie zainstalowanego na komputerze po awarii. Możliwość rozbudowy do konfiguracji dwudyskowej w oparciu o dysk M.2 SSD oraz 2,5”. Dopuszcza się również rozwiązania posiadające 2 złącza M.2 dla dysków SSD.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 xml:space="preserve">W przypadku 2,5” gotowa do rozbudowy zatoka umożliwiająca </w:t>
            </w:r>
            <w:proofErr w:type="spellStart"/>
            <w:r w:rsidRPr="006A4479">
              <w:rPr>
                <w:rFonts w:asciiTheme="minorHAnsi" w:hAnsiTheme="minorHAnsi" w:cstheme="minorHAnsi"/>
                <w:sz w:val="20"/>
              </w:rPr>
              <w:t>podłaczenie</w:t>
            </w:r>
            <w:proofErr w:type="spellEnd"/>
            <w:r w:rsidRPr="006A4479">
              <w:rPr>
                <w:rFonts w:asciiTheme="minorHAnsi" w:hAnsiTheme="minorHAnsi" w:cstheme="minorHAnsi"/>
                <w:sz w:val="20"/>
              </w:rPr>
              <w:t xml:space="preserve"> dysku.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Karta graficzna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Zintegrowana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Wyposażenie multimedialne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Wbudowana karta dźwiękowa zgodna z HD Audio, wbudowane głośniki stereo Dolby Audio min 2x1.5W, wbudowany mikrofon, sterowanie głośnością głośników za pośrednictwem wydzielonych klawiszy funkcyjnych na klawiaturze, wydzielony przycisk funkcyjny do natychmiastowego wyciszania głośników oraz mikrofonu (</w:t>
            </w:r>
            <w:proofErr w:type="spellStart"/>
            <w:r w:rsidRPr="006A4479">
              <w:rPr>
                <w:rFonts w:asciiTheme="minorHAnsi" w:hAnsiTheme="minorHAnsi" w:cstheme="minorHAnsi"/>
                <w:sz w:val="20"/>
              </w:rPr>
              <w:t>mute</w:t>
            </w:r>
            <w:proofErr w:type="spellEnd"/>
            <w:r w:rsidRPr="006A4479">
              <w:rPr>
                <w:rFonts w:asciiTheme="minorHAnsi" w:hAnsiTheme="minorHAnsi" w:cstheme="minorHAnsi"/>
                <w:sz w:val="20"/>
              </w:rPr>
              <w:t>), wbudowana kamera internetowa z mechaniczną przesłoną.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Obudowa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 xml:space="preserve">Obudowa wyposażona w zawiasy metalowe. Nie dopuszcza się </w:t>
            </w:r>
            <w:proofErr w:type="spellStart"/>
            <w:r w:rsidRPr="006A4479">
              <w:rPr>
                <w:rFonts w:asciiTheme="minorHAnsi" w:hAnsiTheme="minorHAnsi" w:cstheme="minorHAnsi"/>
                <w:sz w:val="20"/>
              </w:rPr>
              <w:t>demontowalnych</w:t>
            </w:r>
            <w:proofErr w:type="spellEnd"/>
            <w:r w:rsidRPr="006A4479">
              <w:rPr>
                <w:rFonts w:asciiTheme="minorHAnsi" w:hAnsiTheme="minorHAnsi" w:cstheme="minorHAnsi"/>
                <w:sz w:val="20"/>
              </w:rPr>
              <w:t xml:space="preserve"> zasłon kamery. Kąt otwarcia matrycy min. 176 stopni. W obudowę wbudowane co najmniej 2 diody sygnalizujące stan naładowania akumulatora oraz pracę dysku twardego lub stan pracy komputera.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Płyta główna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 xml:space="preserve">Zaprojektowana i wyprodukowana przez producenta komputera wyposażona w interfejs SATA III (6 </w:t>
            </w:r>
            <w:proofErr w:type="spellStart"/>
            <w:r w:rsidRPr="006A4479">
              <w:rPr>
                <w:rFonts w:asciiTheme="minorHAnsi" w:hAnsiTheme="minorHAnsi" w:cstheme="minorHAnsi"/>
                <w:sz w:val="20"/>
              </w:rPr>
              <w:t>Gb</w:t>
            </w:r>
            <w:proofErr w:type="spellEnd"/>
            <w:r w:rsidRPr="006A4479">
              <w:rPr>
                <w:rFonts w:asciiTheme="minorHAnsi" w:hAnsiTheme="minorHAnsi" w:cstheme="minorHAnsi"/>
                <w:sz w:val="20"/>
              </w:rPr>
              <w:t>/s) do obsługi dysków twardych. Płyta główna i konstrukcja laptopa wspierająca konfiguracje dwu dyskową SSD M.2+ HDD 2,5’’.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Zgodność z systemami operacyjnymi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Oferowany model komputera musi poprawnie współpracować z zamawianym systemem operacyjnym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Bezpieczeństwo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Zintegrowany układ TPM2.0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Wirtualizacja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Sprzętowe wsparcie technologii wirtualizacji realizowane łącznie w procesorze, chipsecie płyty głównej oraz w BIOS systemu (możliwość włączenia/wyłączenia sprzętowego wsparcia wirtualizacji).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BIOS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BIOS zgodny ze specyfikacją UEFI.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Możliwość odczytania z BIOS bez uruchamiania systemu operacyjnego z dysku twardego komputera lub innych podłączonych do niego urządzeń zewnętrznych następujących informacji: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- wersji BIOS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lastRenderedPageBreak/>
              <w:t>- nr seryjnym komputera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- ilości pamięci RAM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- typie procesora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- zainstalowanym dysku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- o zintegrowanej w BIOS licencji na system operacyjny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 xml:space="preserve">- odczytania z BIOS nazwy producenta komputera oraz modelu lub konfiguracji zaoferowanej jednostki. Nie dopuszcza się wykorzystania pól </w:t>
            </w:r>
            <w:proofErr w:type="spellStart"/>
            <w:r w:rsidRPr="006A4479">
              <w:rPr>
                <w:rFonts w:asciiTheme="minorHAnsi" w:hAnsiTheme="minorHAnsi" w:cstheme="minorHAnsi"/>
                <w:bCs/>
                <w:sz w:val="20"/>
              </w:rPr>
              <w:t>Asset</w:t>
            </w:r>
            <w:proofErr w:type="spellEnd"/>
            <w:r w:rsidRPr="006A4479">
              <w:rPr>
                <w:rFonts w:asciiTheme="minorHAnsi" w:hAnsiTheme="minorHAnsi" w:cstheme="minorHAnsi"/>
                <w:bCs/>
                <w:sz w:val="20"/>
              </w:rPr>
              <w:t xml:space="preserve"> TAG w BIOS do propagacji w/w informacji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Administrator z poziomu BIOS musi mieć możliwość wykonania poniższych czynności: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Możliwość ustawienia: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- hasła dla twardego dysku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- hasła Administratora oraz Użytkownika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 xml:space="preserve">- kolejności </w:t>
            </w:r>
            <w:proofErr w:type="spellStart"/>
            <w:r w:rsidRPr="006A4479">
              <w:rPr>
                <w:rFonts w:asciiTheme="minorHAnsi" w:hAnsiTheme="minorHAnsi" w:cstheme="minorHAnsi"/>
                <w:bCs/>
                <w:sz w:val="20"/>
              </w:rPr>
              <w:t>bootowania</w:t>
            </w:r>
            <w:proofErr w:type="spellEnd"/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 xml:space="preserve">- włączania/wyłączania </w:t>
            </w:r>
            <w:proofErr w:type="spellStart"/>
            <w:r w:rsidRPr="006A4479">
              <w:rPr>
                <w:rFonts w:asciiTheme="minorHAnsi" w:hAnsiTheme="minorHAnsi" w:cstheme="minorHAnsi"/>
                <w:bCs/>
                <w:sz w:val="20"/>
              </w:rPr>
              <w:t>WiFi</w:t>
            </w:r>
            <w:proofErr w:type="spellEnd"/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- włączania/wyłączania wirtualizacji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- włączania/wyłączania wgrania starszej wersji BIOS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- sposobu działania klawiszy F1-F12 (normalna praca/skróty)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- trybu wydajności lub chłodzenia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 xml:space="preserve">W przypadku występowania na klawiaturze przycisku </w:t>
            </w:r>
            <w:proofErr w:type="spellStart"/>
            <w:r w:rsidRPr="006A4479">
              <w:rPr>
                <w:rFonts w:asciiTheme="minorHAnsi" w:hAnsiTheme="minorHAnsi" w:cstheme="minorHAnsi"/>
                <w:bCs/>
                <w:sz w:val="20"/>
              </w:rPr>
              <w:t>Fn</w:t>
            </w:r>
            <w:proofErr w:type="spellEnd"/>
            <w:r w:rsidRPr="006A4479">
              <w:rPr>
                <w:rFonts w:asciiTheme="minorHAnsi" w:hAnsiTheme="minorHAnsi" w:cstheme="minorHAnsi"/>
                <w:bCs/>
                <w:sz w:val="20"/>
              </w:rPr>
              <w:t xml:space="preserve"> wymaga się funkcjonalności w BIOS umożliwiającej zamianę funkcji pomiędzy klawiszami </w:t>
            </w:r>
            <w:proofErr w:type="spellStart"/>
            <w:r w:rsidRPr="006A4479">
              <w:rPr>
                <w:rFonts w:asciiTheme="minorHAnsi" w:hAnsiTheme="minorHAnsi" w:cstheme="minorHAnsi"/>
                <w:bCs/>
                <w:sz w:val="20"/>
              </w:rPr>
              <w:t>Ctrl</w:t>
            </w:r>
            <w:proofErr w:type="spellEnd"/>
            <w:r w:rsidRPr="006A4479">
              <w:rPr>
                <w:rFonts w:asciiTheme="minorHAnsi" w:hAnsiTheme="minorHAnsi" w:cstheme="minorHAnsi"/>
                <w:bCs/>
                <w:sz w:val="20"/>
              </w:rPr>
              <w:t xml:space="preserve"> i </w:t>
            </w:r>
            <w:proofErr w:type="spellStart"/>
            <w:r w:rsidRPr="006A4479">
              <w:rPr>
                <w:rFonts w:asciiTheme="minorHAnsi" w:hAnsiTheme="minorHAnsi" w:cstheme="minorHAnsi"/>
                <w:bCs/>
                <w:sz w:val="20"/>
              </w:rPr>
              <w:t>Fn</w:t>
            </w:r>
            <w:proofErr w:type="spellEnd"/>
            <w:r w:rsidRPr="006A4479">
              <w:rPr>
                <w:rFonts w:asciiTheme="minorHAnsi" w:hAnsiTheme="minorHAnsi" w:cstheme="minorHAnsi"/>
                <w:bCs/>
                <w:sz w:val="20"/>
              </w:rPr>
              <w:t xml:space="preserve">, tak aby użytkownik nie musiał zmieniać swoich przyzwyczajeń umiejscowienia przycisków </w:t>
            </w:r>
            <w:proofErr w:type="spellStart"/>
            <w:r w:rsidRPr="006A4479">
              <w:rPr>
                <w:rFonts w:asciiTheme="minorHAnsi" w:hAnsiTheme="minorHAnsi" w:cstheme="minorHAnsi"/>
                <w:bCs/>
                <w:sz w:val="20"/>
              </w:rPr>
              <w:t>Ctrl</w:t>
            </w:r>
            <w:proofErr w:type="spellEnd"/>
            <w:r w:rsidRPr="006A4479">
              <w:rPr>
                <w:rFonts w:asciiTheme="minorHAnsi" w:hAnsiTheme="minorHAnsi" w:cstheme="minorHAnsi"/>
                <w:bCs/>
                <w:sz w:val="20"/>
              </w:rPr>
              <w:t xml:space="preserve"> i </w:t>
            </w:r>
            <w:proofErr w:type="spellStart"/>
            <w:r w:rsidRPr="006A4479">
              <w:rPr>
                <w:rFonts w:asciiTheme="minorHAnsi" w:hAnsiTheme="minorHAnsi" w:cstheme="minorHAnsi"/>
                <w:bCs/>
                <w:sz w:val="20"/>
              </w:rPr>
              <w:t>Fn</w:t>
            </w:r>
            <w:proofErr w:type="spellEnd"/>
            <w:r w:rsidRPr="006A4479">
              <w:rPr>
                <w:rFonts w:asciiTheme="minorHAnsi" w:hAnsiTheme="minorHAnsi" w:cstheme="minorHAnsi"/>
                <w:bCs/>
                <w:sz w:val="20"/>
              </w:rPr>
              <w:t>, co wpływa na komfort obsługi.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Przy ustawionym haśle Administratora, zalogowany Użytkownik do BIOS musi mieć możliwość zmiany własnego hasła. Nie dopuszcza się możliwości edycji ustawień wpływających na bezpieczeństwo urządzenia.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 xml:space="preserve">Możliwość ustawienia portów USB w trybie „no BOOT”, czyli podczas startu komputer nie wykrywa urządzeń </w:t>
            </w:r>
            <w:proofErr w:type="spellStart"/>
            <w:r w:rsidRPr="006A4479">
              <w:rPr>
                <w:rFonts w:asciiTheme="minorHAnsi" w:hAnsiTheme="minorHAnsi" w:cstheme="minorHAnsi"/>
                <w:bCs/>
                <w:sz w:val="20"/>
              </w:rPr>
              <w:t>bootujących</w:t>
            </w:r>
            <w:proofErr w:type="spellEnd"/>
            <w:r w:rsidRPr="006A4479">
              <w:rPr>
                <w:rFonts w:asciiTheme="minorHAnsi" w:hAnsiTheme="minorHAnsi" w:cstheme="minorHAnsi"/>
                <w:bCs/>
                <w:sz w:val="20"/>
              </w:rPr>
              <w:t xml:space="preserve"> typu USB, natomiast po uruchomieniu systemu operacyjnego porty USB są aktywne.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lastRenderedPageBreak/>
              <w:t>…………………………………………….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Ekran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 xml:space="preserve">Matryca 15,6” z podświetleniem w technologii LED, powłoka antyrefleksyjna </w:t>
            </w:r>
            <w:proofErr w:type="spellStart"/>
            <w:r w:rsidRPr="006A4479">
              <w:rPr>
                <w:rFonts w:asciiTheme="minorHAnsi" w:hAnsiTheme="minorHAnsi" w:cstheme="minorHAnsi"/>
                <w:sz w:val="20"/>
              </w:rPr>
              <w:t>Anti-Glare</w:t>
            </w:r>
            <w:proofErr w:type="spellEnd"/>
            <w:r w:rsidRPr="006A4479">
              <w:rPr>
                <w:rFonts w:asciiTheme="minorHAnsi" w:hAnsiTheme="minorHAnsi" w:cstheme="minorHAnsi"/>
                <w:sz w:val="20"/>
              </w:rPr>
              <w:t xml:space="preserve">, rozdzielczość: FHD 1920x1080, </w:t>
            </w:r>
            <w:proofErr w:type="spellStart"/>
            <w:r w:rsidRPr="006A4479">
              <w:rPr>
                <w:rFonts w:asciiTheme="minorHAnsi" w:hAnsiTheme="minorHAnsi" w:cstheme="minorHAnsi"/>
                <w:sz w:val="20"/>
              </w:rPr>
              <w:t>janość</w:t>
            </w:r>
            <w:proofErr w:type="spellEnd"/>
            <w:r w:rsidRPr="006A4479">
              <w:rPr>
                <w:rFonts w:asciiTheme="minorHAnsi" w:hAnsiTheme="minorHAnsi" w:cstheme="minorHAnsi"/>
                <w:sz w:val="20"/>
              </w:rPr>
              <w:t xml:space="preserve"> min. 250nits.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Interfejsy / Komunikacja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Min. 3 porty USB z czego min. 2xUSB 3.2, min. 1 złącze typu C, złącze słuchawek i złącze mikrofonu typu COMBO, RJ45, HDMI.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 xml:space="preserve">Złącze HDMI musi umożliwiać </w:t>
            </w:r>
            <w:proofErr w:type="spellStart"/>
            <w:r w:rsidRPr="006A4479">
              <w:rPr>
                <w:rFonts w:asciiTheme="minorHAnsi" w:hAnsiTheme="minorHAnsi" w:cstheme="minorHAnsi"/>
                <w:sz w:val="20"/>
              </w:rPr>
              <w:t>podłaczenie</w:t>
            </w:r>
            <w:proofErr w:type="spellEnd"/>
            <w:r w:rsidRPr="006A4479">
              <w:rPr>
                <w:rFonts w:asciiTheme="minorHAnsi" w:hAnsiTheme="minorHAnsi" w:cstheme="minorHAnsi"/>
                <w:sz w:val="20"/>
              </w:rPr>
              <w:t xml:space="preserve"> i obsługę zewnętrznego wyświetlacza w rozdzielczości min. </w:t>
            </w:r>
            <w:r w:rsidRPr="006A4479">
              <w:rPr>
                <w:rFonts w:asciiTheme="minorHAnsi" w:hAnsiTheme="minorHAnsi" w:cstheme="minorHAnsi"/>
                <w:sz w:val="20"/>
              </w:rPr>
              <w:lastRenderedPageBreak/>
              <w:t>3840x2160 przy min. 30Hz.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lastRenderedPageBreak/>
              <w:t>…………………………………………….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9B5377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Karta sieciowa WLAN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Wbudowana karta sieciowa, pracująca w standardzie AC 1x1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Bluetooth minimum5.0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Klawiatura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Klawiatura, układ US, odporna na zalanie. Klawiatura z wydzielonym blokiem numerycznym.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/>
                <w:sz w:val="20"/>
              </w:rPr>
            </w:pPr>
            <w:r w:rsidRPr="006A4479">
              <w:rPr>
                <w:rFonts w:asciiTheme="minorHAnsi" w:hAnsiTheme="minorHAnsi" w:cstheme="minorHAnsi"/>
                <w:b/>
                <w:sz w:val="20"/>
              </w:rPr>
              <w:t>Do oferty należy załączyć: karty katalogowej producenta potwierdzającej odporność klawiatury na zalanie cieczą.</w:t>
            </w: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Wbudowany akumulator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 xml:space="preserve">Pozwalający na nieprzerwaną pracę urządzenia przez min. 5,5 godziny, </w:t>
            </w:r>
            <w:proofErr w:type="spellStart"/>
            <w:r w:rsidRPr="006A4479">
              <w:rPr>
                <w:rFonts w:asciiTheme="minorHAnsi" w:hAnsiTheme="minorHAnsi" w:cstheme="minorHAnsi"/>
                <w:sz w:val="20"/>
              </w:rPr>
              <w:t>MobileMark</w:t>
            </w:r>
            <w:proofErr w:type="spellEnd"/>
            <w:r w:rsidRPr="006A4479">
              <w:rPr>
                <w:rFonts w:asciiTheme="minorHAnsi" w:hAnsiTheme="minorHAnsi" w:cstheme="minorHAnsi"/>
                <w:sz w:val="20"/>
              </w:rPr>
              <w:t xml:space="preserve"> 2018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Zasilacz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 w:rsidP="00330FB2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 xml:space="preserve">Zasilacz zewnętrzny </w:t>
            </w:r>
            <w:r w:rsidR="00330FB2" w:rsidRPr="006A4479">
              <w:rPr>
                <w:rFonts w:asciiTheme="minorHAnsi" w:hAnsiTheme="minorHAnsi" w:cstheme="minorHAnsi"/>
                <w:sz w:val="20"/>
              </w:rPr>
              <w:t>minimalnie</w:t>
            </w:r>
            <w:r w:rsidRPr="006A4479">
              <w:rPr>
                <w:rFonts w:asciiTheme="minorHAnsi" w:hAnsiTheme="minorHAnsi" w:cstheme="minorHAnsi"/>
                <w:sz w:val="20"/>
              </w:rPr>
              <w:t xml:space="preserve"> 65W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Waga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 w:rsidP="006C7C2B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 xml:space="preserve">Waga urządzenia z baterią podstawową </w:t>
            </w:r>
            <w:r w:rsidR="006C7C2B">
              <w:rPr>
                <w:rFonts w:asciiTheme="minorHAnsi" w:hAnsiTheme="minorHAnsi" w:cstheme="minorHAnsi"/>
                <w:bCs/>
                <w:sz w:val="20"/>
              </w:rPr>
              <w:t>max</w:t>
            </w:r>
            <w:r w:rsidRPr="006A4479">
              <w:rPr>
                <w:rFonts w:asciiTheme="minorHAnsi" w:hAnsiTheme="minorHAnsi" w:cstheme="minorHAnsi"/>
                <w:bCs/>
                <w:sz w:val="20"/>
              </w:rPr>
              <w:t xml:space="preserve"> 1.7kg</w:t>
            </w:r>
            <w:r w:rsidR="006C7C2B">
              <w:rPr>
                <w:rFonts w:asciiTheme="minorHAnsi" w:hAnsiTheme="minorHAnsi" w:cstheme="minorHAnsi"/>
                <w:bCs/>
                <w:sz w:val="20"/>
              </w:rPr>
              <w:t xml:space="preserve"> lub mniej</w:t>
            </w:r>
            <w:bookmarkStart w:id="0" w:name="_GoBack"/>
            <w:bookmarkEnd w:id="0"/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bCs/>
                <w:sz w:val="20"/>
                <w:highlight w:val="yellow"/>
              </w:rPr>
            </w:pP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System operacyjny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Microsoft Windows 11 Pro 64 bit lub inny system operacyjny klasy PC, który spełnia następujące wymagania poprzez wbudowane mechanizmy, bez użycia dodatkowych aplikacji: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1.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Dostępne dwa rodzaje graficznego interfejsu użytkownika: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a.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Klasyczny, umożliwiający obsługę przy pomocy klawiatury i myszy,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b.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Dotykowy umożliwiający sterowanie dotykiem na urządzeniach typu tablet lub monitorach dotykowych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2.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Funkcje związane z obsługą komputerów typu tablet, z wbudowanym modułem „uczenia się” pisma użytkownika – obsługa języka polskiego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3.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Interfejs użytkownika dostępny w wielu językach do wyboru – w tym polskim i angielskim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4.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Możliwość tworzenia pulpitów wirtualnych, przenoszenia aplikacji pomiędzy pulpitami i przełączanie się pomiędzy pulpitami za pomocą skrótów klawiaturowych lub GUI.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lastRenderedPageBreak/>
              <w:t>5.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Wbudowane w system operacyjny minimum dwie przeglądarki Internetowe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6.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7.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Zlokalizowane w języku polskim, co najmniej następujące elementy: menu, pomoc, komunikaty systemowe, menedżer plików.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8.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Graficzne środowisko instalacji i konfiguracji dostępne w języku polskim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9.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Wbudowany system pomocy w języku polskim.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10.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Możliwość przystosowania stanowiska dla osób niepełnosprawnych (np. słabo widzących).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11.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Możliwość dokonywania aktualizacji i poprawek systemu poprzez mechanizm zarządzany przez administratora systemu Zamawiającego.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12.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 xml:space="preserve">Możliwość dostarczania poprawek do systemu operacyjnego w modelu </w:t>
            </w:r>
            <w:proofErr w:type="spellStart"/>
            <w:r w:rsidRPr="006A4479">
              <w:rPr>
                <w:rFonts w:asciiTheme="minorHAnsi" w:hAnsiTheme="minorHAnsi" w:cstheme="minorHAnsi"/>
                <w:sz w:val="20"/>
              </w:rPr>
              <w:t>peer</w:t>
            </w:r>
            <w:proofErr w:type="spellEnd"/>
            <w:r w:rsidRPr="006A4479">
              <w:rPr>
                <w:rFonts w:asciiTheme="minorHAnsi" w:hAnsiTheme="minorHAnsi" w:cstheme="minorHAnsi"/>
                <w:sz w:val="20"/>
              </w:rPr>
              <w:t>-to-</w:t>
            </w:r>
            <w:proofErr w:type="spellStart"/>
            <w:r w:rsidRPr="006A4479">
              <w:rPr>
                <w:rFonts w:asciiTheme="minorHAnsi" w:hAnsiTheme="minorHAnsi" w:cstheme="minorHAnsi"/>
                <w:sz w:val="20"/>
              </w:rPr>
              <w:t>peer</w:t>
            </w:r>
            <w:proofErr w:type="spellEnd"/>
            <w:r w:rsidRPr="006A4479">
              <w:rPr>
                <w:rFonts w:asciiTheme="minorHAnsi" w:hAnsiTheme="minorHAnsi" w:cstheme="minorHAnsi"/>
                <w:sz w:val="20"/>
              </w:rPr>
              <w:t>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13.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Możliwość sterowania czasem dostarczania nowych wersji systemu operacyjnego, możliwość centralnego opóźniania dostarczania nowej wersji o minimum 4 miesiące.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14.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Zabezpieczony hasłem hierarchiczny dostęp do systemu, konta i profile użytkowników zarządzane zdalnie; praca systemu w trybie ochrony kont użytkowników.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15.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Możliwość dołączenia systemu do usługi katalogowej on-</w:t>
            </w:r>
            <w:proofErr w:type="spellStart"/>
            <w:r w:rsidRPr="006A4479">
              <w:rPr>
                <w:rFonts w:asciiTheme="minorHAnsi" w:hAnsiTheme="minorHAnsi" w:cstheme="minorHAnsi"/>
                <w:sz w:val="20"/>
              </w:rPr>
              <w:t>premise</w:t>
            </w:r>
            <w:proofErr w:type="spellEnd"/>
            <w:r w:rsidRPr="006A4479">
              <w:rPr>
                <w:rFonts w:asciiTheme="minorHAnsi" w:hAnsiTheme="minorHAnsi" w:cstheme="minorHAnsi"/>
                <w:sz w:val="20"/>
              </w:rPr>
              <w:t xml:space="preserve"> lub w chmurze.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16.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Umożliwienie zablokowania urządzenia w ramach danego konta tylko do uruchamiania wybranej aplikacji - tryb "kiosk".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17.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18.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Zdalna pomoc i współdzielenie aplikacji – możliwość zdalnego przejęcia sesji zalogowanego użytkownika celem rozwiązania problemu z komputerem.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19.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 xml:space="preserve">Transakcyjny system plików pozwalający na stosowanie przydziałów (ang. </w:t>
            </w:r>
            <w:proofErr w:type="spellStart"/>
            <w:r w:rsidRPr="006A4479">
              <w:rPr>
                <w:rFonts w:asciiTheme="minorHAnsi" w:hAnsiTheme="minorHAnsi" w:cstheme="minorHAnsi"/>
                <w:sz w:val="20"/>
              </w:rPr>
              <w:t>quota</w:t>
            </w:r>
            <w:proofErr w:type="spellEnd"/>
            <w:r w:rsidRPr="006A4479">
              <w:rPr>
                <w:rFonts w:asciiTheme="minorHAnsi" w:hAnsiTheme="minorHAnsi" w:cstheme="minorHAnsi"/>
                <w:sz w:val="20"/>
              </w:rPr>
              <w:t>) na dysku dla użytkowników oraz zapewniający większą niezawodność i pozwalający tworzyć kopie zapasowe.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20.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Oprogramowanie dla tworzenia kopii zapasowych (Backup); automatyczne wykonywanie kopii plików z możliwością automatycznego przywrócenia wersji wcześniejszej.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21.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Możliwość przywracania obrazu plików systemowych do uprzednio zapisanej postaci.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22.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Możliwość przywracania systemu operacyjnego do stanu początkowego z pozostawieniem plików użytkownika.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23.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Możliwość blokowania lub dopuszczania dowolnych urządzeń peryferyjnych za pomocą polityk grupowych (np. przy użyciu numerów identyfikacyjnych sprzętu)."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24.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 xml:space="preserve">Wbudowany mechanizm wirtualizacji typu </w:t>
            </w:r>
            <w:proofErr w:type="spellStart"/>
            <w:r w:rsidRPr="006A4479">
              <w:rPr>
                <w:rFonts w:asciiTheme="minorHAnsi" w:hAnsiTheme="minorHAnsi" w:cstheme="minorHAnsi"/>
                <w:sz w:val="20"/>
              </w:rPr>
              <w:t>hypervisor</w:t>
            </w:r>
            <w:proofErr w:type="spellEnd"/>
            <w:r w:rsidRPr="006A4479">
              <w:rPr>
                <w:rFonts w:asciiTheme="minorHAnsi" w:hAnsiTheme="minorHAnsi" w:cstheme="minorHAnsi"/>
                <w:sz w:val="20"/>
              </w:rPr>
              <w:t>."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25.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Wbudowana możliwość zdalnego dostępu do systemu i pracy zdalnej z wykorzystaniem pełnego interfejsu graficznego.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26.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Dostępność bezpłatnych biuletynów bezpieczeństwa związanych z działaniem systemu operacyjnego.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27.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Wbudowana zapora internetowa (firewall) dla ochrony połączeń internetowych, zintegrowana z systemem konsola do zarządzania ustawieniami zapory i regułami IP v4 i v6.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28.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29.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30.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Wbudowany system uwierzytelnienia dwuskładnikowego oparty o certyfikat lub klucz prywatny oraz PIN lub uwierzytelnienie biometryczne.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31.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Wbudowane mechanizmy ochrony antywirusowej i przeciw złośliwemu oprogramowaniu z zapewnionymi bezpłatnymi aktualizacjami.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32.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Wbudowany system szyfrowania dysku twardego ze wsparciem modułu TPM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33.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Możliwość tworzenia i przechowywania kopii zapasowych kluczy odzyskiwania do szyfrowania dysku w usługach katalogowych.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34.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Możliwość tworzenia wirtualnych kart inteligentnych.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35.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 xml:space="preserve">Wsparcie dla </w:t>
            </w:r>
            <w:proofErr w:type="spellStart"/>
            <w:r w:rsidRPr="006A4479">
              <w:rPr>
                <w:rFonts w:asciiTheme="minorHAnsi" w:hAnsiTheme="minorHAnsi" w:cstheme="minorHAnsi"/>
                <w:sz w:val="20"/>
              </w:rPr>
              <w:t>firmware</w:t>
            </w:r>
            <w:proofErr w:type="spellEnd"/>
            <w:r w:rsidRPr="006A4479">
              <w:rPr>
                <w:rFonts w:asciiTheme="minorHAnsi" w:hAnsiTheme="minorHAnsi" w:cstheme="minorHAnsi"/>
                <w:sz w:val="20"/>
              </w:rPr>
              <w:t xml:space="preserve"> UEFI i funkcji bezpiecznego rozruchu (</w:t>
            </w:r>
            <w:proofErr w:type="spellStart"/>
            <w:r w:rsidRPr="006A4479">
              <w:rPr>
                <w:rFonts w:asciiTheme="minorHAnsi" w:hAnsiTheme="minorHAnsi" w:cstheme="minorHAnsi"/>
                <w:sz w:val="20"/>
              </w:rPr>
              <w:t>Secure</w:t>
            </w:r>
            <w:proofErr w:type="spellEnd"/>
            <w:r w:rsidRPr="006A4479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A4479">
              <w:rPr>
                <w:rFonts w:asciiTheme="minorHAnsi" w:hAnsiTheme="minorHAnsi" w:cstheme="minorHAnsi"/>
                <w:sz w:val="20"/>
              </w:rPr>
              <w:t>Boot</w:t>
            </w:r>
            <w:proofErr w:type="spellEnd"/>
            <w:r w:rsidRPr="006A4479">
              <w:rPr>
                <w:rFonts w:asciiTheme="minorHAnsi" w:hAnsiTheme="minorHAnsi" w:cstheme="minorHAnsi"/>
                <w:sz w:val="20"/>
              </w:rPr>
              <w:t>)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36.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 xml:space="preserve">Wbudowany w system, wykorzystywany automatycznie przez wbudowane przeglądarki filtr </w:t>
            </w:r>
            <w:proofErr w:type="spellStart"/>
            <w:r w:rsidRPr="006A4479">
              <w:rPr>
                <w:rFonts w:asciiTheme="minorHAnsi" w:hAnsiTheme="minorHAnsi" w:cstheme="minorHAnsi"/>
                <w:sz w:val="20"/>
              </w:rPr>
              <w:t>reputacyjny</w:t>
            </w:r>
            <w:proofErr w:type="spellEnd"/>
            <w:r w:rsidRPr="006A4479">
              <w:rPr>
                <w:rFonts w:asciiTheme="minorHAnsi" w:hAnsiTheme="minorHAnsi" w:cstheme="minorHAnsi"/>
                <w:sz w:val="20"/>
              </w:rPr>
              <w:t xml:space="preserve"> URL.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37.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Wsparcie dla IPSEC oparte na politykach – wdrażanie IPSEC oparte na zestawach reguł definiujących ustawienia zarządzanych w sposób centralny.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38.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Mechanizmy logowania w oparciu o: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a.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Login i hasło,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b.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Karty inteligentne i certyfikaty (</w:t>
            </w:r>
            <w:proofErr w:type="spellStart"/>
            <w:r w:rsidRPr="006A4479">
              <w:rPr>
                <w:rFonts w:asciiTheme="minorHAnsi" w:hAnsiTheme="minorHAnsi" w:cstheme="minorHAnsi"/>
                <w:sz w:val="20"/>
              </w:rPr>
              <w:t>smartcard</w:t>
            </w:r>
            <w:proofErr w:type="spellEnd"/>
            <w:r w:rsidRPr="006A4479">
              <w:rPr>
                <w:rFonts w:asciiTheme="minorHAnsi" w:hAnsiTheme="minorHAnsi" w:cstheme="minorHAnsi"/>
                <w:sz w:val="20"/>
              </w:rPr>
              <w:t>),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c.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Wirtualne karty inteligentne i certyfikaty (logowanie w oparciu o certyfikat chroniony poprzez moduł TPM),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d.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Certyfikat/Klucz i PIN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e.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Certyfikat/Klucz i uwierzytelnienie biometryczne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39.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 xml:space="preserve">Wsparcie dla uwierzytelniania na bazie </w:t>
            </w:r>
            <w:proofErr w:type="spellStart"/>
            <w:r w:rsidRPr="006A4479">
              <w:rPr>
                <w:rFonts w:asciiTheme="minorHAnsi" w:hAnsiTheme="minorHAnsi" w:cstheme="minorHAnsi"/>
                <w:sz w:val="20"/>
              </w:rPr>
              <w:t>Kerberos</w:t>
            </w:r>
            <w:proofErr w:type="spellEnd"/>
            <w:r w:rsidRPr="006A4479">
              <w:rPr>
                <w:rFonts w:asciiTheme="minorHAnsi" w:hAnsiTheme="minorHAnsi" w:cstheme="minorHAnsi"/>
                <w:sz w:val="20"/>
              </w:rPr>
              <w:t xml:space="preserve"> v. 5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40.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Wbudowany agent do zbierania danych na temat zagrożeń na stacji roboczej.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41.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Wsparcie .NET Framework 2.x, 3.x i 4.x – możliwość uruchomienia aplikacji działających we wskazanych środowiskach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42.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 xml:space="preserve">Wsparcie dla </w:t>
            </w:r>
            <w:proofErr w:type="spellStart"/>
            <w:r w:rsidRPr="006A4479">
              <w:rPr>
                <w:rFonts w:asciiTheme="minorHAnsi" w:hAnsiTheme="minorHAnsi" w:cstheme="minorHAnsi"/>
                <w:sz w:val="20"/>
              </w:rPr>
              <w:t>VBScript</w:t>
            </w:r>
            <w:proofErr w:type="spellEnd"/>
            <w:r w:rsidRPr="006A4479">
              <w:rPr>
                <w:rFonts w:asciiTheme="minorHAnsi" w:hAnsiTheme="minorHAnsi" w:cstheme="minorHAnsi"/>
                <w:sz w:val="20"/>
              </w:rPr>
              <w:t xml:space="preserve"> – możliwość uruchamiania interpretera poleceń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43.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Wsparcie dla PowerShell 5.x – możliwość uruchamiania interpretera poleceń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Licencja systemu operacyjnego zaimplementowana w BIOS komputera, umożliwiająca instalację systemu bez podawania klucza oraz bez aktywacji systemu za pośrednictwem Internetu</w:t>
            </w:r>
            <w:r w:rsidR="008F365F" w:rsidRPr="006A4479">
              <w:rPr>
                <w:rFonts w:asciiTheme="minorHAnsi" w:hAnsiTheme="minorHAnsi" w:cstheme="minorHAnsi"/>
                <w:b/>
                <w:bCs/>
                <w:strike/>
                <w:color w:val="C9211E"/>
                <w:sz w:val="20"/>
              </w:rPr>
              <w:t>.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 xml:space="preserve">Nie dopuszcza się zaoferowania systemu operacyjnego typu </w:t>
            </w:r>
            <w:proofErr w:type="spellStart"/>
            <w:r w:rsidRPr="006A4479">
              <w:rPr>
                <w:rFonts w:asciiTheme="minorHAnsi" w:hAnsiTheme="minorHAnsi" w:cstheme="minorHAnsi"/>
                <w:bCs/>
                <w:sz w:val="20"/>
              </w:rPr>
              <w:t>refurbished</w:t>
            </w:r>
            <w:proofErr w:type="spellEnd"/>
            <w:r w:rsidRPr="006A4479">
              <w:rPr>
                <w:rFonts w:asciiTheme="minorHAnsi" w:hAnsiTheme="minorHAnsi" w:cstheme="minorHAnsi"/>
                <w:bCs/>
                <w:sz w:val="20"/>
              </w:rPr>
              <w:t xml:space="preserve">. 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lastRenderedPageBreak/>
              <w:t>…………………………………………….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  <w:lang w:eastAsia="en-US"/>
              </w:rPr>
              <w:t>Oprogramowanie do aktualizacji sterowników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377" w:rsidRPr="006A4479" w:rsidRDefault="00ED316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Oprogramowanie producenta oferowanego sprzętu umożliwiające automatyczną weryfikację i instalację sterowników oraz oprogramowania dołączanego przez producenta w tym również wgranie najnowszej wersji BIOS. Oprogramowanie musi automatycznie łączyć się z centralna bazą sterowników i oprogramowania producenta, sprawdzać dostępne aktualizacje i zapewniać zbiorczą instalację wszystkich sterowników i aplikacji bez ingerencji użytkownika.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  <w:lang w:eastAsia="en-US"/>
              </w:rPr>
              <w:t>Gwarancja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 xml:space="preserve">Minimalny czas trwania gwarancji producenta wynosi 36 miesięcy, </w:t>
            </w:r>
            <w:r w:rsidRPr="006A4479">
              <w:rPr>
                <w:rFonts w:asciiTheme="minorHAnsi" w:hAnsiTheme="minorHAnsi" w:cstheme="minorHAnsi"/>
                <w:bCs/>
                <w:sz w:val="20"/>
              </w:rPr>
              <w:t>świadczona w miejscu użytkowania sprzętu (on-</w:t>
            </w:r>
            <w:proofErr w:type="spellStart"/>
            <w:r w:rsidRPr="006A4479">
              <w:rPr>
                <w:rFonts w:asciiTheme="minorHAnsi" w:hAnsiTheme="minorHAnsi" w:cstheme="minorHAnsi"/>
                <w:bCs/>
                <w:sz w:val="20"/>
              </w:rPr>
              <w:t>site</w:t>
            </w:r>
            <w:proofErr w:type="spellEnd"/>
            <w:r w:rsidRPr="006A4479">
              <w:rPr>
                <w:rFonts w:asciiTheme="minorHAnsi" w:hAnsiTheme="minorHAnsi" w:cstheme="minorHAnsi"/>
                <w:bCs/>
                <w:sz w:val="20"/>
              </w:rPr>
              <w:t>).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 xml:space="preserve">Firma serwisująca musi posiadać ISO 9001 na świadczenie usług serwisowych oraz posiadać autoryzacje producenta urządzeń </w:t>
            </w:r>
            <w:r w:rsidR="00B91174" w:rsidRPr="006A447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A4479">
              <w:rPr>
                <w:rFonts w:asciiTheme="minorHAnsi" w:hAnsiTheme="minorHAnsi" w:cstheme="minorHAnsi"/>
                <w:bCs/>
                <w:sz w:val="20"/>
              </w:rPr>
              <w:t>Zamawiający zastrzega sobie</w:t>
            </w:r>
            <w:r w:rsidRPr="006A4479">
              <w:rPr>
                <w:rFonts w:asciiTheme="minorHAnsi" w:hAnsiTheme="minorHAnsi" w:cstheme="minorHAnsi"/>
                <w:sz w:val="20"/>
              </w:rPr>
              <w:t xml:space="preserve"> prawo do możliwości weryfikacji powyższego wymogu. W przypadku weryfikacji przez Zamawiającego, Wykonawca dostarczy stosowne dokumenty pochodzące od producenta komputera.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9B5377" w:rsidP="006A4479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highlight w:val="yellow"/>
                <w:lang w:eastAsia="en-US"/>
              </w:rPr>
            </w:pP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tabs>
                <w:tab w:val="left" w:pos="213"/>
              </w:tabs>
              <w:spacing w:line="300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  <w:lang w:eastAsia="en-US"/>
              </w:rPr>
              <w:t>Wsparcie techniczne producenta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Zaawansowana diagnostyka sprzętowa oraz oprogramowania dostępna 24h/dobę na stronie producenta komputera</w:t>
            </w:r>
          </w:p>
          <w:p w:rsidR="009B5377" w:rsidRPr="006A4479" w:rsidRDefault="00ED3166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Infolinia wsparcia technicznego dedykowana do rozwiązywania usterek oprogramowania – możliwość kontaktu przez telefon, formularz web lub chat online, dostępna w dni powszednie od 9:00-18:00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9B5377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</w:tbl>
    <w:p w:rsidR="009B5377" w:rsidRPr="006A4479" w:rsidRDefault="009B5377">
      <w:pPr>
        <w:rPr>
          <w:rFonts w:asciiTheme="minorHAnsi" w:hAnsiTheme="minorHAnsi" w:cstheme="minorHAnsi"/>
          <w:sz w:val="20"/>
        </w:rPr>
      </w:pPr>
    </w:p>
    <w:sectPr w:rsidR="009B5377" w:rsidRPr="006A4479" w:rsidSect="006A4479">
      <w:headerReference w:type="default" r:id="rId12"/>
      <w:footerReference w:type="default" r:id="rId13"/>
      <w:pgSz w:w="16838" w:h="11906" w:orient="landscape"/>
      <w:pgMar w:top="1417" w:right="1417" w:bottom="993" w:left="1134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A6D" w:rsidRDefault="00A43A6D" w:rsidP="00A43A6D">
      <w:r>
        <w:separator/>
      </w:r>
    </w:p>
  </w:endnote>
  <w:endnote w:type="continuationSeparator" w:id="0">
    <w:p w:rsidR="00A43A6D" w:rsidRDefault="00A43A6D" w:rsidP="00A4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A6D" w:rsidRDefault="00A43A6D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5455F48" wp14:editId="21651683">
          <wp:simplePos x="0" y="0"/>
          <wp:positionH relativeFrom="column">
            <wp:posOffset>156210</wp:posOffset>
          </wp:positionH>
          <wp:positionV relativeFrom="paragraph">
            <wp:posOffset>314960</wp:posOffset>
          </wp:positionV>
          <wp:extent cx="6120000" cy="899639"/>
          <wp:effectExtent l="0" t="0" r="0" b="0"/>
          <wp:wrapSquare wrapText="bothSides"/>
          <wp:docPr id="2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00" cy="899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455F48" wp14:editId="21651683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6120000" cy="899639"/>
          <wp:effectExtent l="0" t="0" r="0" b="0"/>
          <wp:wrapSquare wrapText="bothSides"/>
          <wp:docPr id="1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00" cy="899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A6D" w:rsidRDefault="00A43A6D" w:rsidP="00A43A6D">
      <w:r>
        <w:separator/>
      </w:r>
    </w:p>
  </w:footnote>
  <w:footnote w:type="continuationSeparator" w:id="0">
    <w:p w:rsidR="00A43A6D" w:rsidRDefault="00A43A6D" w:rsidP="00A43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A6D" w:rsidRDefault="00A43A6D">
    <w:pPr>
      <w:pStyle w:val="Nagwek"/>
      <w:rPr>
        <w:rFonts w:hint="eastAsia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99CCD62" wp14:editId="6F8018D7">
          <wp:simplePos x="0" y="0"/>
          <wp:positionH relativeFrom="column">
            <wp:posOffset>1000125</wp:posOffset>
          </wp:positionH>
          <wp:positionV relativeFrom="paragraph">
            <wp:posOffset>0</wp:posOffset>
          </wp:positionV>
          <wp:extent cx="6120000" cy="899639"/>
          <wp:effectExtent l="0" t="0" r="0" b="0"/>
          <wp:wrapSquare wrapText="bothSides"/>
          <wp:docPr id="3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00" cy="899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D4456"/>
    <w:multiLevelType w:val="multilevel"/>
    <w:tmpl w:val="A49A55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6D5C6C"/>
    <w:multiLevelType w:val="multilevel"/>
    <w:tmpl w:val="B4CA2FF8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6206B83"/>
    <w:multiLevelType w:val="multilevel"/>
    <w:tmpl w:val="B930EAE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1F0793"/>
    <w:multiLevelType w:val="multilevel"/>
    <w:tmpl w:val="F87AF4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77"/>
    <w:rsid w:val="000519C7"/>
    <w:rsid w:val="00330FB2"/>
    <w:rsid w:val="006A4479"/>
    <w:rsid w:val="006C7C2B"/>
    <w:rsid w:val="008A29BD"/>
    <w:rsid w:val="008F365F"/>
    <w:rsid w:val="009B5377"/>
    <w:rsid w:val="00A43A6D"/>
    <w:rsid w:val="00B91174"/>
    <w:rsid w:val="00C2381B"/>
    <w:rsid w:val="00ED3166"/>
    <w:rsid w:val="00FD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DA6BD-5905-4D93-B4F5-117D99CE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50A"/>
    <w:rPr>
      <w:rFonts w:ascii="Arial Narrow" w:eastAsia="Times New Roman" w:hAnsi="Arial Narrow" w:cs="Times New Roman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7276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F790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F790B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F790B"/>
    <w:rPr>
      <w:rFonts w:ascii="Tahoma" w:eastAsia="Times New Roman" w:hAnsi="Tahoma" w:cs="Tahoma"/>
      <w:sz w:val="16"/>
      <w:szCs w:val="16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F54BA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5607C1"/>
    <w:rPr>
      <w:color w:val="800080" w:themeColor="followedHyperlink"/>
      <w:u w:val="single"/>
    </w:rPr>
  </w:style>
  <w:style w:type="character" w:customStyle="1" w:styleId="NagwekZnak">
    <w:name w:val="Nagłówek Znak"/>
    <w:basedOn w:val="Domylnaczcionkaakapitu"/>
    <w:link w:val="Nagwek1"/>
    <w:uiPriority w:val="99"/>
    <w:qFormat/>
    <w:rsid w:val="00EE5902"/>
    <w:rPr>
      <w:rFonts w:ascii="Arial Narrow" w:eastAsia="Times New Roman" w:hAnsi="Arial Narrow" w:cs="Times New Roman"/>
      <w:szCs w:val="20"/>
      <w:lang w:val="pl-PL"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EE5902"/>
    <w:rPr>
      <w:rFonts w:ascii="Arial Narrow" w:eastAsia="Times New Roman" w:hAnsi="Arial Narrow" w:cs="Times New Roman"/>
      <w:szCs w:val="20"/>
      <w:lang w:val="pl-PL"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2D5D3D"/>
    <w:rPr>
      <w:color w:val="605E5C"/>
      <w:shd w:val="clear" w:color="auto" w:fill="E1DFDD"/>
    </w:rPr>
  </w:style>
  <w:style w:type="character" w:customStyle="1" w:styleId="Numeracjawierszy">
    <w:name w:val="Numeracja wierszy"/>
    <w:rsid w:val="009B5377"/>
  </w:style>
  <w:style w:type="paragraph" w:styleId="Nagwek">
    <w:name w:val="header"/>
    <w:basedOn w:val="Normalny"/>
    <w:next w:val="Tekstpodstawowy"/>
    <w:qFormat/>
    <w:rsid w:val="009B5377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9B5377"/>
    <w:pPr>
      <w:spacing w:after="140" w:line="276" w:lineRule="auto"/>
    </w:pPr>
  </w:style>
  <w:style w:type="paragraph" w:styleId="Lista">
    <w:name w:val="List"/>
    <w:basedOn w:val="Tekstpodstawowy"/>
    <w:rsid w:val="009B5377"/>
    <w:rPr>
      <w:rFonts w:cs="Arial Unicode MS"/>
    </w:rPr>
  </w:style>
  <w:style w:type="paragraph" w:customStyle="1" w:styleId="Legenda1">
    <w:name w:val="Legenda1"/>
    <w:basedOn w:val="Normalny"/>
    <w:qFormat/>
    <w:rsid w:val="009B537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B5377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9B5377"/>
  </w:style>
  <w:style w:type="paragraph" w:customStyle="1" w:styleId="Nagwek1">
    <w:name w:val="Nagłówek1"/>
    <w:basedOn w:val="Normalny"/>
    <w:next w:val="Tekstpodstawowy"/>
    <w:link w:val="NagwekZnak"/>
    <w:uiPriority w:val="99"/>
    <w:unhideWhenUsed/>
    <w:rsid w:val="00EE5902"/>
    <w:pPr>
      <w:tabs>
        <w:tab w:val="center" w:pos="4680"/>
        <w:tab w:val="right" w:pos="9360"/>
      </w:tabs>
    </w:pPr>
  </w:style>
  <w:style w:type="paragraph" w:styleId="Legenda">
    <w:name w:val="caption"/>
    <w:basedOn w:val="Normalny"/>
    <w:qFormat/>
    <w:rsid w:val="009B537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Tabelapozycja">
    <w:name w:val="Tabela pozycja"/>
    <w:basedOn w:val="Normalny"/>
    <w:qFormat/>
    <w:rsid w:val="009F750A"/>
    <w:rPr>
      <w:rFonts w:ascii="Arial" w:eastAsia="MS Outlook" w:hAnsi="Arial"/>
    </w:rPr>
  </w:style>
  <w:style w:type="paragraph" w:styleId="Akapitzlist">
    <w:name w:val="List Paragraph"/>
    <w:basedOn w:val="Normalny"/>
    <w:uiPriority w:val="34"/>
    <w:qFormat/>
    <w:rsid w:val="009078DC"/>
    <w:pPr>
      <w:ind w:left="720"/>
    </w:pPr>
    <w:rPr>
      <w:rFonts w:ascii="Calibri" w:hAnsi="Calibri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F790B"/>
    <w:pPr>
      <w:spacing w:after="200"/>
    </w:pPr>
    <w:rPr>
      <w:rFonts w:asciiTheme="minorHAnsi" w:eastAsiaTheme="minorHAnsi" w:hAnsiTheme="minorHAnsi" w:cstheme="minorBidi"/>
      <w:sz w:val="20"/>
      <w:lang w:val="de-D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F790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F54BA"/>
    <w:pPr>
      <w:spacing w:after="0"/>
    </w:pPr>
    <w:rPr>
      <w:rFonts w:ascii="Arial Narrow" w:eastAsia="Times New Roman" w:hAnsi="Arial Narrow" w:cs="Times New Roman"/>
      <w:b/>
      <w:bCs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944BA0"/>
    <w:pPr>
      <w:spacing w:beforeAutospacing="1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Stopka1">
    <w:name w:val="Stopka1"/>
    <w:basedOn w:val="Normalny"/>
    <w:link w:val="StopkaZnak"/>
    <w:uiPriority w:val="99"/>
    <w:unhideWhenUsed/>
    <w:rsid w:val="00EE5902"/>
    <w:pPr>
      <w:tabs>
        <w:tab w:val="center" w:pos="4680"/>
        <w:tab w:val="right" w:pos="9360"/>
      </w:tabs>
    </w:pPr>
  </w:style>
  <w:style w:type="paragraph" w:customStyle="1" w:styleId="Standardowy1">
    <w:name w:val="Standardowy1"/>
    <w:qFormat/>
    <w:rsid w:val="009B5377"/>
    <w:pPr>
      <w:spacing w:after="200" w:line="276" w:lineRule="auto"/>
    </w:pPr>
    <w:rPr>
      <w:rFonts w:eastAsia="Times New Roman" w:cs="Times New Roman"/>
      <w:lang w:val="pl-PL" w:eastAsia="pl-PL"/>
    </w:rPr>
  </w:style>
  <w:style w:type="paragraph" w:styleId="Stopka">
    <w:name w:val="footer"/>
    <w:basedOn w:val="Normalny"/>
    <w:link w:val="StopkaZnak1"/>
    <w:uiPriority w:val="99"/>
    <w:unhideWhenUsed/>
    <w:rsid w:val="00A43A6D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A43A6D"/>
    <w:rPr>
      <w:rFonts w:ascii="Arial Narrow" w:eastAsia="Times New Roman" w:hAnsi="Arial Narrow" w:cs="Times New Roman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pubenchmark.net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1330DDD4CDC4D94BF34DAFB5E4B20" ma:contentTypeVersion="10" ma:contentTypeDescription="Create a new document." ma:contentTypeScope="" ma:versionID="980c24e54a2639ee01023e5c00e9dcc2">
  <xsd:schema xmlns:xsd="http://www.w3.org/2001/XMLSchema" xmlns:xs="http://www.w3.org/2001/XMLSchema" xmlns:p="http://schemas.microsoft.com/office/2006/metadata/properties" xmlns:ns2="25b2b4e5-49eb-4b98-bb31-eaebd9ec213f" targetNamespace="http://schemas.microsoft.com/office/2006/metadata/properties" ma:root="true" ma:fieldsID="3caecce106b5d65151753c26a9f08ab1" ns2:_="">
    <xsd:import namespace="25b2b4e5-49eb-4b98-bb31-eaebd9ec2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2b4e5-49eb-4b98-bb31-eaebd9ec2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22614-4E36-4B1A-A79B-1DA9C5375DFD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25b2b4e5-49eb-4b98-bb31-eaebd9ec213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AF862F5-49A0-4699-9FC0-75B308B18C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F87F06-D2E4-48D3-BA6D-40DBB07FD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2b4e5-49eb-4b98-bb31-eaebd9ec2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5ED97E-01D0-498C-B979-539E9749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D10A299F</Template>
  <TotalTime>6</TotalTime>
  <Pages>8</Pages>
  <Words>2027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Glinkowska</dc:creator>
  <dc:description/>
  <cp:lastModifiedBy>Renata Glinkowska</cp:lastModifiedBy>
  <cp:revision>4</cp:revision>
  <dcterms:created xsi:type="dcterms:W3CDTF">2022-06-28T11:52:00Z</dcterms:created>
  <dcterms:modified xsi:type="dcterms:W3CDTF">2022-08-31T10:05:00Z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0x0101001771330DDD4CDC4D94BF34DAFB5E4B20</vt:lpwstr>
  </property>
</Properties>
</file>